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rPr>
          <w:rFonts w:hint="eastAsia" w:ascii="方正小标宋简体" w:hAnsi="方正小标宋_GBK" w:eastAsia="方正小标宋简体" w:cs="方正小标宋_GBK"/>
          <w:sz w:val="56"/>
          <w:szCs w:val="56"/>
        </w:rPr>
      </w:pPr>
      <w:bookmarkStart w:id="2" w:name="_GoBack"/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天津市节能环保中心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项目支出绩效目标表</w:t>
      </w:r>
    </w:p>
    <w:p>
      <w:pPr>
        <w:jc w:val="center"/>
        <w:rPr>
          <w:rFonts w:ascii="方正小标宋简体" w:eastAsia="方正小标宋简体"/>
          <w:sz w:val="56"/>
          <w:szCs w:val="56"/>
        </w:rPr>
      </w:pPr>
      <w:r>
        <w:rPr>
          <w:rFonts w:hint="eastAsia" w:ascii="方正小标宋简体" w:hAnsi="方正小标宋_GBK" w:eastAsia="方正小标宋简体" w:cs="方正小标宋_GBK"/>
          <w:sz w:val="56"/>
          <w:szCs w:val="56"/>
        </w:rPr>
        <w:t>（2025年）</w:t>
      </w:r>
      <w:bookmarkEnd w:id="2"/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</w:pPr>
    </w:p>
    <w:p>
      <w:pPr>
        <w:jc w:val="center"/>
        <w:sectPr>
          <w:pgSz w:w="11900" w:h="16840"/>
          <w:pgMar w:top="1984" w:right="1304" w:bottom="1134" w:left="1304" w:header="720" w:footer="720" w:gutter="0"/>
          <w:cols w:space="720" w:num="1"/>
          <w:titlePg/>
        </w:sectPr>
      </w:pPr>
    </w:p>
    <w:p>
      <w:pPr>
        <w:jc w:val="center"/>
      </w:pPr>
    </w:p>
    <w:p>
      <w:pPr>
        <w:jc w:val="center"/>
        <w:outlineLvl w:val="0"/>
      </w:pPr>
      <w:r>
        <w:rPr>
          <w:rFonts w:ascii="方正小标宋_GBK" w:hAnsi="方正小标宋_GBK" w:eastAsia="方正小标宋_GBK" w:cs="方正小标宋_GBK"/>
          <w:sz w:val="36"/>
        </w:rPr>
        <w:t>目    录</w:t>
      </w:r>
    </w:p>
    <w:p>
      <w:pPr>
        <w:jc w:val="center"/>
      </w:pP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TOC \o "4-4" \h \z \u</w:instrText>
      </w:r>
      <w:r>
        <w:fldChar w:fldCharType="separate"/>
      </w: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 HYPERLINK \l "_Toc_4_4_0000000038" </w:instrText>
      </w:r>
      <w:r>
        <w:fldChar w:fldCharType="separate"/>
      </w:r>
      <w:r>
        <w:rPr>
          <w:rFonts w:hint="eastAsia"/>
          <w:lang w:val="en-US" w:eastAsia="zh-CN"/>
        </w:rPr>
        <w:t>1</w:t>
      </w:r>
      <w:r>
        <w:t>.2025年“双碳”领域工作专项经费绩效目标表</w:t>
      </w:r>
      <w:r>
        <w:fldChar w:fldCharType="end"/>
      </w:r>
    </w:p>
    <w:p>
      <w:pPr>
        <w:pStyle w:val="17"/>
        <w:tabs>
          <w:tab w:val="right" w:leader="dot" w:pos="9282"/>
        </w:tabs>
      </w:pPr>
      <w:r>
        <w:fldChar w:fldCharType="begin"/>
      </w:r>
      <w:r>
        <w:instrText xml:space="preserve"> HYPERLINK \l "_Toc_4_4_0000000039" </w:instrText>
      </w:r>
      <w:r>
        <w:fldChar w:fldCharType="separate"/>
      </w:r>
      <w:r>
        <w:rPr>
          <w:rFonts w:hint="eastAsia"/>
          <w:lang w:val="en-US" w:eastAsia="zh-CN"/>
        </w:rPr>
        <w:t>2</w:t>
      </w:r>
      <w:r>
        <w:t>.2025年国家工业专项节能监察经费绩效目标表</w:t>
      </w:r>
      <w:r>
        <w:fldChar w:fldCharType="end"/>
      </w:r>
    </w:p>
    <w:p>
      <w:pPr>
        <w:sectPr>
          <w:footerReference r:id="rId3" w:type="default"/>
          <w:footerReference r:id="rId4" w:type="even"/>
          <w:pgSz w:w="11900" w:h="16840"/>
          <w:pgMar w:top="1984" w:right="1304" w:bottom="1134" w:left="1304" w:header="720" w:footer="720" w:gutter="0"/>
          <w:pgNumType w:start="1"/>
          <w:cols w:space="720" w:num="1"/>
        </w:sectPr>
      </w:pPr>
      <w:r>
        <w:fldChar w:fldCharType="end"/>
      </w:r>
    </w:p>
    <w:p>
      <w:pPr>
        <w:jc w:val="center"/>
      </w:pPr>
    </w:p>
    <w:p>
      <w:pPr>
        <w:ind w:firstLine="560"/>
        <w:outlineLvl w:val="3"/>
      </w:pPr>
      <w:bookmarkStart w:id="0" w:name="_Toc_4_4_0000000038"/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1</w:t>
      </w:r>
      <w:r>
        <w:rPr>
          <w:rFonts w:ascii="方正仿宋_GBK" w:hAnsi="方正仿宋_GBK" w:eastAsia="方正仿宋_GBK" w:cs="方正仿宋_GBK"/>
          <w:sz w:val="28"/>
        </w:rPr>
        <w:t>.2025年“双碳”领域工作专项经费绩效目标表</w:t>
      </w:r>
      <w:bookmarkEnd w:id="0"/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321206天津市节能环保中心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0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2025年“双碳”领域工作专项经费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3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27.00</w:t>
            </w:r>
          </w:p>
        </w:tc>
        <w:tc>
          <w:tcPr>
            <w:tcW w:w="1587" w:type="dxa"/>
            <w:vAlign w:val="center"/>
          </w:tcPr>
          <w:p>
            <w:pPr>
              <w:pStyle w:val="13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>
            <w:pPr>
              <w:pStyle w:val="12"/>
            </w:pPr>
            <w:r>
              <w:t>27.00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贯彻落实《国务院关于印发“十四五“节能减排综合工作方案的通知》（国发【2021】）33号）《天津市碳达峰实施方案》《天津市绿色低碳发展行动方案》要求，受市发展改革委委托，对重点用能单位、固定资产投资项目、清洁生产重点企业、服务机构开展行政执法检查；按要求组织开展日常普法培训，并在全国节能宣传周、生态日等重大活动期间开展宣传活动；推动”双碳“领域地方标准的制定、修订及推广宣传等，保障”碳标委“相关工作开展；组织开展”双碳“领域技术推广等工作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1.完成重点用能单位、固定资产投资项目、节能服务机构等35次节能监察，完成强制性清洁生产企业、清洁生产审核机构等15次执法检查。</w:t>
            </w:r>
          </w:p>
          <w:p>
            <w:pPr>
              <w:pStyle w:val="12"/>
            </w:pPr>
            <w:r>
              <w:t>2.完成1次宣传或培训。</w:t>
            </w:r>
          </w:p>
        </w:tc>
      </w:tr>
    </w:tbl>
    <w:p>
      <w:pPr>
        <w:spacing w:line="2" w:lineRule="exact"/>
        <w:jc w:val="center"/>
      </w:pP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>
            <w:pPr>
              <w:pStyle w:val="13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>
            <w:pPr>
              <w:pStyle w:val="13"/>
            </w:pPr>
            <w: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 xml:space="preserve">宣传或培训次数 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 xml:space="preserve">宣传或培训次数 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≥1次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执法检查次数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执法检查次数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≥50次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执法监督平台录入案件</w:t>
            </w:r>
          </w:p>
          <w:p>
            <w:pPr>
              <w:pStyle w:val="12"/>
            </w:pPr>
            <w:r>
              <w:t xml:space="preserve">合格率 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执法监督平台录入案件</w:t>
            </w:r>
          </w:p>
          <w:p>
            <w:pPr>
              <w:pStyle w:val="12"/>
            </w:pPr>
            <w:r>
              <w:t xml:space="preserve">合格率 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 xml:space="preserve">完成执法检查时间 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 xml:space="preserve">完成执法检查时间 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2025年12月31日前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“双碳”领域执法检查、宣传培训、推动标准制修订、技术推广等工作经费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“双碳”领域执法检查、宣传培训、推动标准制修订、技术推广等工作经费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≤27万元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依法检查企业落实节能、清洁生产法律法规情况，促进企业节能降碳、清洁生产，绿色高质量发展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依法检查企业落实节能、清洁生产法律法规情况，促进企业节能降碳、清洁生产，绿色高质量发展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 xml:space="preserve">严格落实行政执法有关规定，依法规范开展执法检查 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执法相对人满意度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执法相对人满意度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</w:tbl>
    <w:p>
      <w:pPr>
        <w:sectPr>
          <w:pgSz w:w="11900" w:h="16840"/>
          <w:pgMar w:top="1984" w:right="1304" w:bottom="1134" w:left="1304" w:header="720" w:footer="720" w:gutter="0"/>
          <w:cols w:space="720" w:num="1"/>
        </w:sectPr>
      </w:pPr>
    </w:p>
    <w:p>
      <w:pPr>
        <w:jc w:val="center"/>
      </w:pPr>
    </w:p>
    <w:p>
      <w:pPr>
        <w:ind w:firstLine="560"/>
        <w:outlineLvl w:val="3"/>
      </w:pPr>
      <w:bookmarkStart w:id="1" w:name="_Toc_4_4_0000000039"/>
      <w:r>
        <w:rPr>
          <w:rFonts w:hint="eastAsia" w:ascii="方正仿宋_GBK" w:hAnsi="方正仿宋_GBK" w:eastAsia="方正仿宋_GBK" w:cs="方正仿宋_GBK"/>
          <w:sz w:val="28"/>
          <w:lang w:val="en-US" w:eastAsia="zh-CN"/>
        </w:rPr>
        <w:t>2</w:t>
      </w:r>
      <w:r>
        <w:rPr>
          <w:rFonts w:ascii="方正仿宋_GBK" w:hAnsi="方正仿宋_GBK" w:eastAsia="方正仿宋_GBK" w:cs="方正仿宋_GBK"/>
          <w:sz w:val="28"/>
        </w:rPr>
        <w:t>.2025年国家工业专项节能监察经费绩效目标表</w:t>
      </w:r>
      <w:bookmarkEnd w:id="1"/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FFFFFF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1587"/>
        <w:gridCol w:w="1843"/>
        <w:gridCol w:w="1276"/>
        <w:gridCol w:w="1276"/>
      </w:tblGrid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8589" w:type="dxa"/>
            <w:gridSpan w:val="6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1"/>
            </w:pPr>
            <w:r>
              <w:t>321206天津市节能环保中心</w:t>
            </w:r>
          </w:p>
        </w:tc>
        <w:tc>
          <w:tcPr>
            <w:tcW w:w="1276" w:type="dxa"/>
            <w:tcBorders>
              <w:top w:val="single" w:color="FFFFFF" w:sz="6" w:space="0"/>
              <w:left w:val="single" w:color="FFFFFF" w:sz="6" w:space="0"/>
              <w:right w:val="single" w:color="FFFFFF" w:sz="6" w:space="0"/>
            </w:tcBorders>
            <w:vAlign w:val="center"/>
          </w:tcPr>
          <w:p>
            <w:pPr>
              <w:pStyle w:val="10"/>
            </w:pPr>
            <w:r>
              <w:t>单位：万元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项目名称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2025年国家工业专项节能监察经费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3"/>
            </w:pPr>
            <w:r>
              <w:t>预算规模及资金用途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预算数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55.30</w:t>
            </w:r>
          </w:p>
        </w:tc>
        <w:tc>
          <w:tcPr>
            <w:tcW w:w="1587" w:type="dxa"/>
            <w:vAlign w:val="center"/>
          </w:tcPr>
          <w:p>
            <w:pPr>
              <w:pStyle w:val="13"/>
            </w:pPr>
            <w:r>
              <w:t>其中：财政    资金</w:t>
            </w:r>
          </w:p>
        </w:tc>
        <w:tc>
          <w:tcPr>
            <w:tcW w:w="1843" w:type="dxa"/>
            <w:vAlign w:val="center"/>
          </w:tcPr>
          <w:p>
            <w:pPr>
              <w:pStyle w:val="12"/>
            </w:pP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其他资金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55.30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</w:tcPr>
          <w:p/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依照工业和信息化部工作通知要求，依据行业强制性能耗限额标准以及能效标杆水平、基准水平、聚焦石化化工、钢铁、建材等工业重点领域，开展工业专项节能监察，实施重点用能单位节能检测，组织开展工业领域节能监察培训，参加工业节能监察相关工作会议或培训等。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FFFFFF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绩效目标</w:t>
            </w:r>
          </w:p>
        </w:tc>
        <w:tc>
          <w:tcPr>
            <w:tcW w:w="8589" w:type="dxa"/>
            <w:gridSpan w:val="6"/>
            <w:vAlign w:val="center"/>
          </w:tcPr>
          <w:p>
            <w:pPr>
              <w:pStyle w:val="12"/>
            </w:pPr>
            <w:r>
              <w:t>1.完成10家工业专项监察任务。</w:t>
            </w:r>
          </w:p>
        </w:tc>
      </w:tr>
    </w:tbl>
    <w:p>
      <w:pPr>
        <w:spacing w:line="2" w:lineRule="exact"/>
        <w:jc w:val="center"/>
      </w:pPr>
    </w:p>
    <w:tbl>
      <w:tblPr>
        <w:tblStyle w:val="4"/>
        <w:tblW w:w="0" w:type="auto"/>
        <w:jc w:val="center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single" w:color="000000" w:sz="6" w:space="0"/>
          <w:insideV w:val="single" w:color="000000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6"/>
        <w:gridCol w:w="1276"/>
        <w:gridCol w:w="1332"/>
        <w:gridCol w:w="3430"/>
        <w:gridCol w:w="2551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tblHeader/>
          <w:jc w:val="center"/>
        </w:trPr>
        <w:tc>
          <w:tcPr>
            <w:tcW w:w="1276" w:type="dxa"/>
            <w:vAlign w:val="center"/>
          </w:tcPr>
          <w:p>
            <w:pPr>
              <w:pStyle w:val="13"/>
            </w:pPr>
            <w:r>
              <w:t>一级指标</w:t>
            </w:r>
          </w:p>
        </w:tc>
        <w:tc>
          <w:tcPr>
            <w:tcW w:w="1276" w:type="dxa"/>
            <w:vAlign w:val="center"/>
          </w:tcPr>
          <w:p>
            <w:pPr>
              <w:pStyle w:val="13"/>
            </w:pPr>
            <w:r>
              <w:t>二级指标</w:t>
            </w:r>
          </w:p>
        </w:tc>
        <w:tc>
          <w:tcPr>
            <w:tcW w:w="1332" w:type="dxa"/>
            <w:vAlign w:val="center"/>
          </w:tcPr>
          <w:p>
            <w:pPr>
              <w:pStyle w:val="13"/>
            </w:pPr>
            <w:r>
              <w:t>三级指标</w:t>
            </w:r>
          </w:p>
        </w:tc>
        <w:tc>
          <w:tcPr>
            <w:tcW w:w="3430" w:type="dxa"/>
            <w:vAlign w:val="center"/>
          </w:tcPr>
          <w:p>
            <w:pPr>
              <w:pStyle w:val="13"/>
            </w:pPr>
            <w:r>
              <w:t>绩效指标描述</w:t>
            </w:r>
          </w:p>
        </w:tc>
        <w:tc>
          <w:tcPr>
            <w:tcW w:w="2551" w:type="dxa"/>
            <w:vAlign w:val="center"/>
          </w:tcPr>
          <w:p>
            <w:pPr>
              <w:pStyle w:val="13"/>
            </w:pPr>
            <w:r>
              <w:t>指标值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restart"/>
            <w:vAlign w:val="center"/>
          </w:tcPr>
          <w:p>
            <w:pPr>
              <w:pStyle w:val="14"/>
            </w:pPr>
            <w:r>
              <w:t>产出指标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数量指标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工业专项节能监察数量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工业专项节能监察数量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≥10家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质量指标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执法监督平台录入案件合格率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执法监督平台录入案件合格率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时效指标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 xml:space="preserve">完成工业专项节能监察时间 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完成工业专项节能监察时间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2025年12月31日前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Merge w:val="continue"/>
            <w:vAlign w:val="center"/>
          </w:tcPr>
          <w:p/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成本指标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完成工业专项节能监察、培训、能效检测等工作经费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完成工业专项节能监察、培训、能效检测等工作经费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≤55.3万元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效益指标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社会效益指标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推动企业提升节能守法贯标意识，依法依规开展生产经营活动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推动企业提升节能守法贯标意识，依法依规开展生产经营活动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严格落实工业节能监察有关规定，依法规范开展节能监察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single" w:color="000000" w:sz="6" w:space="0"/>
            <w:insideV w:val="single" w:color="000000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9" w:hRule="atLeast"/>
          <w:jc w:val="center"/>
        </w:trPr>
        <w:tc>
          <w:tcPr>
            <w:tcW w:w="1276" w:type="dxa"/>
            <w:vAlign w:val="center"/>
          </w:tcPr>
          <w:p>
            <w:pPr>
              <w:pStyle w:val="14"/>
            </w:pPr>
            <w:r>
              <w:t>满意度指标</w:t>
            </w:r>
          </w:p>
        </w:tc>
        <w:tc>
          <w:tcPr>
            <w:tcW w:w="1276" w:type="dxa"/>
            <w:vAlign w:val="center"/>
          </w:tcPr>
          <w:p>
            <w:pPr>
              <w:pStyle w:val="12"/>
            </w:pPr>
            <w:r>
              <w:t>服务对象满意度指标</w:t>
            </w:r>
          </w:p>
        </w:tc>
        <w:tc>
          <w:tcPr>
            <w:tcW w:w="1332" w:type="dxa"/>
            <w:vAlign w:val="center"/>
          </w:tcPr>
          <w:p>
            <w:pPr>
              <w:pStyle w:val="12"/>
            </w:pPr>
            <w:r>
              <w:t>执法相对人满意度</w:t>
            </w:r>
          </w:p>
        </w:tc>
        <w:tc>
          <w:tcPr>
            <w:tcW w:w="3430" w:type="dxa"/>
            <w:vAlign w:val="center"/>
          </w:tcPr>
          <w:p>
            <w:pPr>
              <w:pStyle w:val="12"/>
            </w:pPr>
            <w:r>
              <w:t>执法相对人满意度</w:t>
            </w:r>
          </w:p>
        </w:tc>
        <w:tc>
          <w:tcPr>
            <w:tcW w:w="2551" w:type="dxa"/>
            <w:vAlign w:val="center"/>
          </w:tcPr>
          <w:p>
            <w:pPr>
              <w:pStyle w:val="12"/>
            </w:pPr>
            <w:r>
              <w:t>≥95%</w:t>
            </w:r>
          </w:p>
        </w:tc>
      </w:tr>
    </w:tbl>
    <w:p/>
    <w:sectPr>
      <w:pgSz w:w="11900" w:h="16840"/>
      <w:pgMar w:top="1984" w:right="1304" w:bottom="1134" w:left="1304" w:header="720" w:footer="720" w:gutter="0"/>
      <w:cols w:space="72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方正书宋_GBK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altName w:val="Times New Roman"/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DejaVu Sans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DejaVu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方正仿宋_GBK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方正书宋_GBK">
    <w:panose1 w:val="02000000000000000000"/>
    <w:charset w:val="86"/>
    <w:family w:val="auto"/>
    <w:pitch w:val="default"/>
    <w:sig w:usb0="00000001" w:usb1="08000000" w:usb2="00000000" w:usb3="00000000" w:csb0="00040000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_GBK">
    <w:panose1 w:val="02000000000000000000"/>
    <w:charset w:val="86"/>
    <w:family w:val="roman"/>
    <w:pitch w:val="default"/>
    <w:sig w:usb0="00000001" w:usb1="08000000" w:usb2="00000000" w:usb3="00000000" w:csb0="00040000" w:csb1="00000000"/>
  </w:font>
  <w:font w:name="DejaVu Sans">
    <w:panose1 w:val="020B0603030804020204"/>
    <w:charset w:val="00"/>
    <w:family w:val="auto"/>
    <w:pitch w:val="default"/>
    <w:sig w:usb0="E7006EFF" w:usb1="D200FDFF" w:usb2="0A246029" w:usb3="0400200C" w:csb0="600001FF" w:csb1="D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jc w:val="right"/>
    </w:pPr>
    <w:r>
      <w:fldChar w:fldCharType="begin"/>
    </w:r>
    <w:r>
      <w:instrText xml:space="preserve">PAGE "page number"</w:instrText>
    </w:r>
    <w:r>
      <w:fldChar w:fldCharType="separate"/>
    </w:r>
    <w:r>
      <w:t>41</w:t>
    </w:r>
    <w: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r>
      <w:fldChar w:fldCharType="begin"/>
    </w:r>
    <w:r>
      <w:instrText xml:space="preserve">PAGE "page number"</w:instrText>
    </w:r>
    <w:r>
      <w:fldChar w:fldCharType="separate"/>
    </w:r>
    <w:r>
      <w:t>42</w:t>
    </w:r>
    <w:r>
      <w:fldChar w:fldCharType="end"/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true"/>
  <w:bordersDoNotSurroundFooter w:val="true"/>
  <w:doNotTrackMoves/>
  <w:documentProtection w:enforcement="0"/>
  <w:defaultTabStop w:val="720"/>
  <w:evenAndOddHeaders w:val="true"/>
  <w:characterSpacingControl w:val="doNotCompress"/>
  <w:compat>
    <w:doNotLeaveBackslashAlone/>
    <w:doNotExpandShiftReturn/>
    <w:adjustLineHeightInTable/>
    <w:useFELayout/>
    <w:compatSetting w:name="compatibilityMode" w:uri="http://schemas.microsoft.com/office/word" w:val="12"/>
  </w:compat>
  <w:rsids>
    <w:rsidRoot w:val="00D86C20"/>
    <w:rsid w:val="00351AF3"/>
    <w:rsid w:val="004C14AE"/>
    <w:rsid w:val="00D86C20"/>
    <w:rsid w:val="00E17FEF"/>
    <w:rsid w:val="00F63D6B"/>
    <w:rsid w:val="2FA23A1F"/>
    <w:rsid w:val="FFEE3D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Theme="minorEastAsia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Times New Roman" w:hAnsi="Times New Roman" w:eastAsia="Times New Roman" w:cs="Times New Roman"/>
      <w:sz w:val="24"/>
      <w:szCs w:val="24"/>
      <w:lang w:val="en-US" w:eastAsia="uk-UA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9"/>
    <w:semiHidden/>
    <w:unhideWhenUsed/>
    <w:qFormat/>
    <w:uiPriority w:val="9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3">
    <w:name w:val="header"/>
    <w:basedOn w:val="1"/>
    <w:link w:val="18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5">
    <w:name w:val="Table Grid"/>
    <w:basedOn w:val="4"/>
    <w:qFormat/>
    <w:uiPriority w:val="0"/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7">
    <w:name w:val="插入文本样式-插入总体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8">
    <w:name w:val="插入文本样式-插入职责分类绩效目标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9">
    <w:name w:val="插入文本样式-插入实现年度发展规划目标的保障措施文件"/>
    <w:basedOn w:val="1"/>
    <w:qFormat/>
    <w:uiPriority w:val="0"/>
    <w:pPr>
      <w:spacing w:line="500" w:lineRule="exact"/>
      <w:ind w:firstLine="560"/>
    </w:pPr>
    <w:rPr>
      <w:rFonts w:eastAsia="方正仿宋_GBK"/>
      <w:sz w:val="28"/>
    </w:rPr>
  </w:style>
  <w:style w:type="paragraph" w:customStyle="1" w:styleId="10">
    <w:name w:val="单元格样式4"/>
    <w:basedOn w:val="1"/>
    <w:qFormat/>
    <w:uiPriority w:val="0"/>
    <w:pPr>
      <w:jc w:val="right"/>
    </w:pPr>
    <w:rPr>
      <w:rFonts w:ascii="方正书宋_GBK" w:hAnsi="方正书宋_GBK" w:eastAsia="方正书宋_GBK" w:cs="方正书宋_GBK"/>
      <w:sz w:val="21"/>
    </w:rPr>
  </w:style>
  <w:style w:type="paragraph" w:customStyle="1" w:styleId="11">
    <w:name w:val="单元格样式5"/>
    <w:basedOn w:val="1"/>
    <w:qFormat/>
    <w:uiPriority w:val="0"/>
    <w:rPr>
      <w:rFonts w:ascii="方正书宋_GBK" w:hAnsi="方正书宋_GBK" w:eastAsia="方正书宋_GBK" w:cs="方正书宋_GBK"/>
      <w:b/>
      <w:sz w:val="21"/>
    </w:rPr>
  </w:style>
  <w:style w:type="paragraph" w:customStyle="1" w:styleId="12">
    <w:name w:val="单元格样式2"/>
    <w:basedOn w:val="1"/>
    <w:qFormat/>
    <w:uiPriority w:val="0"/>
    <w:rPr>
      <w:rFonts w:ascii="方正书宋_GBK" w:hAnsi="方正书宋_GBK" w:eastAsia="方正书宋_GBK" w:cs="方正书宋_GBK"/>
      <w:sz w:val="21"/>
    </w:rPr>
  </w:style>
  <w:style w:type="paragraph" w:customStyle="1" w:styleId="13">
    <w:name w:val="单元格样式1"/>
    <w:basedOn w:val="1"/>
    <w:qFormat/>
    <w:uiPriority w:val="0"/>
    <w:pPr>
      <w:jc w:val="center"/>
    </w:pPr>
    <w:rPr>
      <w:rFonts w:ascii="方正书宋_GBK" w:hAnsi="方正书宋_GBK" w:eastAsia="方正书宋_GBK" w:cs="方正书宋_GBK"/>
      <w:b/>
      <w:sz w:val="21"/>
    </w:rPr>
  </w:style>
  <w:style w:type="paragraph" w:customStyle="1" w:styleId="14">
    <w:name w:val="单元格样式3"/>
    <w:basedOn w:val="1"/>
    <w:qFormat/>
    <w:uiPriority w:val="0"/>
    <w:pPr>
      <w:jc w:val="center"/>
    </w:pPr>
    <w:rPr>
      <w:rFonts w:ascii="方正书宋_GBK" w:hAnsi="方正书宋_GBK" w:eastAsia="方正书宋_GBK" w:cs="方正书宋_GBK"/>
      <w:sz w:val="21"/>
    </w:rPr>
  </w:style>
  <w:style w:type="paragraph" w:customStyle="1" w:styleId="15">
    <w:name w:val="目录 21"/>
    <w:basedOn w:val="1"/>
    <w:qFormat/>
    <w:uiPriority w:val="0"/>
    <w:pPr>
      <w:ind w:left="240"/>
    </w:pPr>
  </w:style>
  <w:style w:type="paragraph" w:customStyle="1" w:styleId="16">
    <w:name w:val="目录 41"/>
    <w:basedOn w:val="1"/>
    <w:qFormat/>
    <w:uiPriority w:val="0"/>
    <w:pPr>
      <w:ind w:left="720"/>
    </w:pPr>
  </w:style>
  <w:style w:type="paragraph" w:customStyle="1" w:styleId="17">
    <w:name w:val="目录 11"/>
    <w:basedOn w:val="1"/>
    <w:qFormat/>
    <w:uiPriority w:val="0"/>
    <w:pPr>
      <w:spacing w:before="120"/>
    </w:pPr>
    <w:rPr>
      <w:rFonts w:eastAsia="方正仿宋_GBK"/>
      <w:color w:val="000000"/>
      <w:sz w:val="28"/>
    </w:rPr>
  </w:style>
  <w:style w:type="character" w:customStyle="1" w:styleId="18">
    <w:name w:val="页眉 Char"/>
    <w:basedOn w:val="6"/>
    <w:link w:val="3"/>
    <w:semiHidden/>
    <w:qFormat/>
    <w:uiPriority w:val="99"/>
    <w:rPr>
      <w:rFonts w:eastAsia="Times New Roman"/>
      <w:sz w:val="18"/>
      <w:szCs w:val="18"/>
      <w:lang w:eastAsia="uk-UA"/>
    </w:rPr>
  </w:style>
  <w:style w:type="character" w:customStyle="1" w:styleId="19">
    <w:name w:val="页脚 Char"/>
    <w:basedOn w:val="6"/>
    <w:link w:val="2"/>
    <w:semiHidden/>
    <w:qFormat/>
    <w:uiPriority w:val="99"/>
    <w:rPr>
      <w:rFonts w:eastAsia="Times New Roman"/>
      <w:sz w:val="18"/>
      <w:szCs w:val="18"/>
      <w:lang w:eastAsia="uk-UA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true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false"/>
        </a:gradFill>
        <a:gradFill rotWithShape="true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false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true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false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Micorosoft</Company>
  <Pages>1</Pages>
  <Words>3589</Words>
  <Characters>20461</Characters>
  <Lines>170</Lines>
  <Paragraphs>48</Paragraphs>
  <TotalTime>13</TotalTime>
  <ScaleCrop>false</ScaleCrop>
  <LinksUpToDate>false</LinksUpToDate>
  <CharactersWithSpaces>24002</CharactersWithSpaces>
  <Application>WPS Office_11.8.2.10125_F1E327BC-269C-435d-A152-05C5408002CA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2025-01-16T06:47:00Z</dcterms:created>
  <dc:creator>sugon</dc:creator>
  <cp:lastModifiedBy>f300-g30</cp:lastModifiedBy>
  <dcterms:modified xsi:type="dcterms:W3CDTF">2025-02-27T20:23:55Z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2052-11.8.2.10125</vt:lpwstr>
  </property>
  <property fmtid="{D5CDD505-2E9C-101B-9397-08002B2CF9AE}" pid="3" name="ICV">
    <vt:lpwstr>8C736083826E7FF6B0B6AE67C513D816</vt:lpwstr>
  </property>
</Properties>
</file>