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ind w:firstLine="640" w:firstLineChars="200"/>
        <w:rPr>
          <w:rFonts w:ascii="Times New Roman" w:hAnsi="Times New Roman" w:eastAsia="仿宋_GB2312"/>
          <w:sz w:val="32"/>
          <w:szCs w:val="32"/>
        </w:rPr>
      </w:pPr>
    </w:p>
    <w:p>
      <w:pPr>
        <w:spacing w:line="560" w:lineRule="exact"/>
        <w:ind w:firstLine="640" w:firstLineChars="200"/>
        <w:rPr>
          <w:rFonts w:ascii="Times New Roman" w:hAnsi="Times New Roman" w:eastAsia="仿宋_GB2312"/>
          <w:sz w:val="32"/>
          <w:szCs w:val="32"/>
        </w:rPr>
      </w:pPr>
    </w:p>
    <w:p>
      <w:pPr>
        <w:spacing w:line="580" w:lineRule="exact"/>
        <w:ind w:firstLine="640" w:firstLineChars="200"/>
        <w:rPr>
          <w:rFonts w:ascii="Times New Roman" w:hAnsi="Times New Roman" w:eastAsia="仿宋_GB2312"/>
          <w:color w:val="000000"/>
          <w:sz w:val="32"/>
          <w:szCs w:val="32"/>
        </w:rPr>
      </w:pPr>
      <w:bookmarkStart w:id="71" w:name="_GoBack"/>
      <w:bookmarkEnd w:id="71"/>
    </w:p>
    <w:p>
      <w:pPr>
        <w:spacing w:line="580" w:lineRule="exact"/>
        <w:ind w:firstLine="640" w:firstLineChars="200"/>
        <w:rPr>
          <w:rFonts w:ascii="Times New Roman" w:hAnsi="Times New Roman" w:eastAsia="仿宋_GB2312"/>
          <w:color w:val="000000"/>
          <w:sz w:val="32"/>
          <w:szCs w:val="32"/>
        </w:rPr>
      </w:pPr>
    </w:p>
    <w:p>
      <w:pPr>
        <w:spacing w:line="580" w:lineRule="exact"/>
        <w:ind w:firstLine="640" w:firstLineChars="200"/>
        <w:rPr>
          <w:rFonts w:ascii="Times New Roman" w:hAnsi="Times New Roman" w:eastAsia="仿宋_GB2312"/>
          <w:color w:val="000000"/>
          <w:sz w:val="32"/>
          <w:szCs w:val="32"/>
        </w:rPr>
      </w:pPr>
    </w:p>
    <w:p>
      <w:pPr>
        <w:spacing w:line="580" w:lineRule="exact"/>
        <w:ind w:firstLine="640" w:firstLineChars="200"/>
        <w:rPr>
          <w:rFonts w:ascii="Times New Roman" w:hAnsi="Times New Roman" w:eastAsia="仿宋_GB2312"/>
          <w:color w:val="000000"/>
          <w:sz w:val="32"/>
          <w:szCs w:val="32"/>
        </w:rPr>
      </w:pPr>
    </w:p>
    <w:p>
      <w:pPr>
        <w:spacing w:line="580" w:lineRule="exact"/>
        <w:jc w:val="center"/>
        <w:rPr>
          <w:rFonts w:ascii="Times New Roman" w:hAnsi="Times New Roman" w:eastAsia="黑体"/>
          <w:color w:val="000000"/>
          <w:sz w:val="44"/>
          <w:szCs w:val="44"/>
        </w:rPr>
      </w:pPr>
      <w:r>
        <w:rPr>
          <w:rFonts w:ascii="Times New Roman" w:eastAsia="黑体"/>
          <w:color w:val="000000"/>
          <w:sz w:val="44"/>
          <w:szCs w:val="44"/>
        </w:rPr>
        <w:t>天津市</w:t>
      </w:r>
      <w:r>
        <w:rPr>
          <w:rFonts w:hint="eastAsia" w:ascii="Times New Roman" w:eastAsia="黑体"/>
          <w:color w:val="000000"/>
          <w:sz w:val="44"/>
          <w:szCs w:val="44"/>
          <w:lang w:eastAsia="zh-CN"/>
        </w:rPr>
        <w:t>可再生能源</w:t>
      </w:r>
      <w:r>
        <w:rPr>
          <w:rFonts w:ascii="Times New Roman" w:eastAsia="黑体"/>
          <w:color w:val="000000"/>
          <w:sz w:val="44"/>
          <w:szCs w:val="44"/>
        </w:rPr>
        <w:t>发展</w:t>
      </w:r>
      <w:r>
        <w:rPr>
          <w:rFonts w:ascii="Times New Roman" w:hAnsi="Times New Roman" w:eastAsia="黑体"/>
          <w:color w:val="000000"/>
          <w:sz w:val="44"/>
          <w:szCs w:val="44"/>
        </w:rPr>
        <w:t>“</w:t>
      </w:r>
      <w:r>
        <w:rPr>
          <w:rFonts w:ascii="Times New Roman" w:eastAsia="黑体"/>
          <w:color w:val="000000"/>
          <w:sz w:val="44"/>
          <w:szCs w:val="44"/>
        </w:rPr>
        <w:t>十四五</w:t>
      </w:r>
      <w:r>
        <w:rPr>
          <w:rFonts w:ascii="Times New Roman" w:hAnsi="Times New Roman" w:eastAsia="黑体"/>
          <w:color w:val="000000"/>
          <w:sz w:val="44"/>
          <w:szCs w:val="44"/>
        </w:rPr>
        <w:t>”</w:t>
      </w:r>
      <w:r>
        <w:rPr>
          <w:rFonts w:ascii="Times New Roman" w:eastAsia="黑体"/>
          <w:color w:val="000000"/>
          <w:sz w:val="44"/>
          <w:szCs w:val="44"/>
        </w:rPr>
        <w:t>规划</w:t>
      </w:r>
    </w:p>
    <w:p>
      <w:pPr>
        <w:spacing w:line="580" w:lineRule="exact"/>
        <w:jc w:val="center"/>
        <w:rPr>
          <w:rFonts w:ascii="Times New Roman" w:hAnsi="Times New Roman" w:eastAsia="黑体"/>
          <w:color w:val="000000"/>
          <w:sz w:val="44"/>
          <w:szCs w:val="44"/>
        </w:rPr>
      </w:pPr>
    </w:p>
    <w:p>
      <w:pPr>
        <w:spacing w:line="580" w:lineRule="exact"/>
        <w:ind w:firstLine="640" w:firstLineChars="200"/>
        <w:rPr>
          <w:rFonts w:ascii="Times New Roman" w:hAnsi="Times New Roman" w:eastAsia="仿宋_GB2312"/>
          <w:color w:val="000000"/>
          <w:sz w:val="32"/>
          <w:szCs w:val="32"/>
        </w:rPr>
      </w:pPr>
    </w:p>
    <w:p>
      <w:pPr>
        <w:spacing w:line="580" w:lineRule="exact"/>
        <w:ind w:firstLine="640" w:firstLineChars="200"/>
        <w:rPr>
          <w:rFonts w:ascii="Times New Roman" w:hAnsi="Times New Roman" w:eastAsia="仿宋_GB2312"/>
          <w:color w:val="000000"/>
          <w:sz w:val="32"/>
          <w:szCs w:val="32"/>
        </w:rPr>
      </w:pPr>
    </w:p>
    <w:p>
      <w:pPr>
        <w:spacing w:line="580" w:lineRule="exact"/>
        <w:ind w:firstLine="640" w:firstLineChars="200"/>
        <w:rPr>
          <w:rFonts w:ascii="Times New Roman" w:hAnsi="Times New Roman" w:eastAsia="仿宋_GB2312"/>
          <w:color w:val="000000"/>
          <w:sz w:val="32"/>
          <w:szCs w:val="32"/>
        </w:rPr>
      </w:pPr>
    </w:p>
    <w:p>
      <w:pPr>
        <w:spacing w:line="580" w:lineRule="exact"/>
        <w:ind w:firstLine="640" w:firstLineChars="200"/>
        <w:rPr>
          <w:rFonts w:ascii="Times New Roman" w:hAnsi="Times New Roman" w:eastAsia="仿宋_GB2312"/>
          <w:color w:val="000000"/>
          <w:sz w:val="32"/>
          <w:szCs w:val="32"/>
        </w:rPr>
      </w:pPr>
    </w:p>
    <w:p>
      <w:pPr>
        <w:spacing w:line="580" w:lineRule="exact"/>
        <w:ind w:firstLine="640" w:firstLineChars="200"/>
        <w:rPr>
          <w:rFonts w:ascii="Times New Roman" w:hAnsi="Times New Roman" w:eastAsia="仿宋_GB2312"/>
          <w:color w:val="000000"/>
          <w:sz w:val="32"/>
          <w:szCs w:val="32"/>
        </w:rPr>
      </w:pPr>
    </w:p>
    <w:p>
      <w:pPr>
        <w:spacing w:line="580" w:lineRule="exact"/>
        <w:ind w:firstLine="640" w:firstLineChars="200"/>
        <w:rPr>
          <w:rFonts w:ascii="Times New Roman" w:hAnsi="Times New Roman" w:eastAsia="仿宋_GB2312"/>
          <w:color w:val="000000"/>
          <w:sz w:val="32"/>
          <w:szCs w:val="32"/>
        </w:rPr>
      </w:pPr>
    </w:p>
    <w:p>
      <w:pPr>
        <w:spacing w:line="580" w:lineRule="exact"/>
        <w:ind w:firstLine="640" w:firstLineChars="200"/>
        <w:rPr>
          <w:rFonts w:ascii="Times New Roman" w:hAnsi="Times New Roman" w:eastAsia="仿宋_GB2312"/>
          <w:color w:val="000000"/>
          <w:sz w:val="32"/>
          <w:szCs w:val="32"/>
        </w:rPr>
      </w:pPr>
    </w:p>
    <w:p>
      <w:pPr>
        <w:spacing w:line="580" w:lineRule="exact"/>
        <w:ind w:firstLine="640" w:firstLineChars="200"/>
        <w:rPr>
          <w:rFonts w:ascii="Times New Roman" w:hAnsi="Times New Roman" w:eastAsia="仿宋_GB2312"/>
          <w:color w:val="000000"/>
          <w:sz w:val="32"/>
          <w:szCs w:val="32"/>
        </w:rPr>
      </w:pPr>
    </w:p>
    <w:p>
      <w:pPr>
        <w:spacing w:line="580" w:lineRule="exact"/>
        <w:ind w:firstLine="640" w:firstLineChars="200"/>
        <w:rPr>
          <w:rFonts w:ascii="Times New Roman" w:hAnsi="Times New Roman" w:eastAsia="仿宋_GB2312"/>
          <w:color w:val="000000"/>
          <w:sz w:val="32"/>
          <w:szCs w:val="32"/>
        </w:rPr>
      </w:pPr>
    </w:p>
    <w:p>
      <w:pPr>
        <w:spacing w:line="580" w:lineRule="exact"/>
        <w:ind w:firstLine="640" w:firstLineChars="200"/>
        <w:rPr>
          <w:rFonts w:ascii="Times New Roman" w:hAnsi="Times New Roman" w:eastAsia="仿宋_GB2312"/>
          <w:color w:val="000000"/>
          <w:sz w:val="32"/>
          <w:szCs w:val="32"/>
        </w:rPr>
      </w:pPr>
    </w:p>
    <w:p>
      <w:pPr>
        <w:spacing w:line="580" w:lineRule="exact"/>
        <w:jc w:val="center"/>
        <w:rPr>
          <w:rFonts w:ascii="Times New Roman" w:hAnsi="Times New Roman" w:eastAsia="黑体"/>
          <w:color w:val="000000"/>
          <w:sz w:val="32"/>
          <w:szCs w:val="32"/>
        </w:rPr>
      </w:pPr>
      <w:r>
        <w:rPr>
          <w:rFonts w:ascii="Times New Roman" w:eastAsia="黑体"/>
          <w:color w:val="000000"/>
          <w:sz w:val="32"/>
          <w:szCs w:val="32"/>
        </w:rPr>
        <w:t>天津市发展和改革委员会</w:t>
      </w:r>
    </w:p>
    <w:p>
      <w:pPr>
        <w:spacing w:line="580" w:lineRule="exact"/>
        <w:jc w:val="center"/>
        <w:rPr>
          <w:rFonts w:ascii="Times New Roman" w:eastAsia="黑体"/>
          <w:color w:val="000000"/>
          <w:sz w:val="32"/>
          <w:szCs w:val="32"/>
        </w:rPr>
        <w:sectPr>
          <w:headerReference r:id="rId3" w:type="default"/>
          <w:footerReference r:id="rId4" w:type="default"/>
          <w:pgSz w:w="11907" w:h="16840"/>
          <w:pgMar w:top="2098" w:right="1474" w:bottom="1984" w:left="1587" w:header="851" w:footer="992" w:gutter="0"/>
          <w:pgNumType w:fmt="numberInDash"/>
          <w:cols w:space="720" w:num="1"/>
          <w:docGrid w:linePitch="312" w:charSpace="0"/>
        </w:sectPr>
      </w:pPr>
      <w:r>
        <w:rPr>
          <w:rFonts w:ascii="Times New Roman" w:hAnsi="Times New Roman" w:eastAsia="黑体"/>
          <w:color w:val="000000"/>
          <w:sz w:val="32"/>
          <w:szCs w:val="32"/>
        </w:rPr>
        <w:t>2021</w:t>
      </w:r>
      <w:r>
        <w:rPr>
          <w:rFonts w:ascii="Times New Roman" w:eastAsia="黑体"/>
          <w:color w:val="000000"/>
          <w:sz w:val="32"/>
          <w:szCs w:val="32"/>
        </w:rPr>
        <w:t>年</w:t>
      </w:r>
      <w:r>
        <w:rPr>
          <w:rFonts w:ascii="Times New Roman" w:hAnsi="Times New Roman" w:eastAsia="黑体"/>
          <w:color w:val="000000"/>
          <w:sz w:val="32"/>
          <w:szCs w:val="32"/>
        </w:rPr>
        <w:t>12</w:t>
      </w:r>
    </w:p>
    <w:p>
      <w:pPr>
        <w:adjustRightInd w:val="0"/>
        <w:snapToGrid w:val="0"/>
        <w:spacing w:line="560" w:lineRule="exact"/>
        <w:rPr>
          <w:rFonts w:eastAsia="楷体_GB2312"/>
          <w:color w:val="auto"/>
          <w:sz w:val="32"/>
          <w:szCs w:val="32"/>
        </w:rPr>
      </w:pPr>
      <w:r>
        <w:rPr>
          <w:rFonts w:hint="eastAsia" w:eastAsia="仿宋_GB2312"/>
          <w:color w:val="auto"/>
          <w:sz w:val="32"/>
          <w:szCs w:val="32"/>
          <w:lang w:val="en-US" w:eastAsia="zh-CN"/>
        </w:rPr>
        <w:t xml:space="preserve">    </w:t>
      </w:r>
      <w:r>
        <w:rPr>
          <w:rFonts w:eastAsia="仿宋_GB2312"/>
          <w:color w:val="auto"/>
          <w:sz w:val="32"/>
          <w:szCs w:val="32"/>
        </w:rPr>
        <w:t>本规划依据《天津市国民经济和社会发展第十四个五年规划和二〇三五年远景目标纲要》、《天津市能源发展“十四五”规划》编制，是天津“十四五”可再生能源发展的指导性文件。</w:t>
      </w:r>
    </w:p>
    <w:p>
      <w:pPr>
        <w:pStyle w:val="2"/>
        <w:spacing w:before="0" w:beforeLines="0" w:line="560" w:lineRule="exact"/>
        <w:ind w:firstLine="640"/>
        <w:rPr>
          <w:color w:val="auto"/>
        </w:rPr>
      </w:pPr>
      <w:bookmarkStart w:id="0" w:name="_Toc15006"/>
      <w:bookmarkStart w:id="1" w:name="_Toc8669"/>
      <w:bookmarkStart w:id="2" w:name="_Toc10344"/>
      <w:bookmarkStart w:id="3" w:name="_Toc513036402"/>
      <w:bookmarkStart w:id="4" w:name="_Toc306956197"/>
      <w:bookmarkStart w:id="5" w:name="_Toc253594476"/>
      <w:bookmarkStart w:id="6" w:name="_Toc306766266"/>
      <w:bookmarkStart w:id="7" w:name="_Toc253584908"/>
      <w:bookmarkStart w:id="8" w:name="_Toc307053907"/>
      <w:bookmarkStart w:id="9" w:name="_Toc253743964"/>
      <w:bookmarkStart w:id="10" w:name="_Toc4122"/>
      <w:bookmarkStart w:id="11" w:name="_Toc252935338"/>
      <w:bookmarkStart w:id="12" w:name="_Toc306780057"/>
      <w:bookmarkStart w:id="13" w:name="_Toc3136"/>
      <w:r>
        <w:rPr>
          <w:color w:val="auto"/>
          <w:lang w:eastAsia="zh-CN"/>
        </w:rPr>
        <w:t>一、</w:t>
      </w:r>
      <w:r>
        <w:rPr>
          <w:color w:val="auto"/>
        </w:rPr>
        <w:t>发展基础</w:t>
      </w:r>
      <w:bookmarkEnd w:id="0"/>
      <w:bookmarkEnd w:id="1"/>
      <w:bookmarkEnd w:id="2"/>
    </w:p>
    <w:p>
      <w:pPr>
        <w:spacing w:line="560" w:lineRule="exact"/>
        <w:ind w:firstLine="640" w:firstLineChars="200"/>
        <w:rPr>
          <w:rFonts w:ascii="Times New Roman" w:hAnsi="Times New Roman" w:eastAsia="楷体_GB2312" w:cs="Times New Roman"/>
          <w:color w:val="auto"/>
          <w:sz w:val="32"/>
          <w:szCs w:val="32"/>
          <w:lang w:eastAsia="zh-CN"/>
        </w:rPr>
      </w:pPr>
      <w:bookmarkStart w:id="14" w:name="_Toc19781"/>
      <w:r>
        <w:rPr>
          <w:rFonts w:ascii="Times New Roman" w:hAnsi="Times New Roman" w:eastAsia="楷体_GB2312" w:cs="Times New Roman"/>
          <w:color w:val="auto"/>
          <w:sz w:val="32"/>
          <w:szCs w:val="32"/>
          <w:lang w:eastAsia="zh-CN"/>
        </w:rPr>
        <w:t>（一）资源条件</w:t>
      </w:r>
      <w:bookmarkEnd w:id="14"/>
    </w:p>
    <w:p>
      <w:pPr>
        <w:overflowPunct w:val="0"/>
        <w:topLinePunct/>
        <w:adjustRightInd w:val="0"/>
        <w:snapToGrid w:val="0"/>
        <w:spacing w:line="560" w:lineRule="exact"/>
        <w:ind w:firstLine="640" w:firstLineChars="200"/>
        <w:rPr>
          <w:rFonts w:eastAsia="仿宋_GB2312"/>
          <w:color w:val="auto"/>
          <w:kern w:val="32"/>
          <w:sz w:val="32"/>
          <w:szCs w:val="32"/>
          <w:highlight w:val="yellow"/>
        </w:rPr>
      </w:pPr>
      <w:r>
        <w:rPr>
          <w:rFonts w:eastAsia="仿宋_GB2312"/>
          <w:color w:val="auto"/>
          <w:kern w:val="32"/>
          <w:sz w:val="32"/>
          <w:szCs w:val="32"/>
        </w:rPr>
        <w:t>天津地处华北平原北部，东临渤海、北依燕山，北南长189千米，西东宽117千米，陆界长1137千米，海岸线长153千米，是我国北方最大的沿海开放城市。天津气候温和，地质稳定，自然灾害少发，电网建设较为完善，具备开发利用风能、太阳能等新能源和可再生能源的基本条件。</w:t>
      </w:r>
    </w:p>
    <w:p>
      <w:pPr>
        <w:pStyle w:val="4"/>
        <w:spacing w:line="560" w:lineRule="exact"/>
        <w:ind w:firstLine="640"/>
        <w:rPr>
          <w:color w:val="auto"/>
          <w:lang w:eastAsia="zh-CN"/>
        </w:rPr>
      </w:pPr>
      <w:r>
        <w:rPr>
          <w:rFonts w:hint="eastAsia"/>
          <w:color w:val="auto"/>
          <w:lang w:val="en-US" w:eastAsia="zh-CN"/>
        </w:rPr>
        <w:t>1.</w:t>
      </w:r>
      <w:r>
        <w:rPr>
          <w:color w:val="auto"/>
        </w:rPr>
        <w:t>风能资源</w:t>
      </w:r>
    </w:p>
    <w:p>
      <w:pPr>
        <w:overflowPunct w:val="0"/>
        <w:topLinePunct/>
        <w:adjustRightInd w:val="0"/>
        <w:snapToGrid w:val="0"/>
        <w:spacing w:line="560" w:lineRule="exact"/>
        <w:ind w:firstLine="640" w:firstLineChars="200"/>
        <w:rPr>
          <w:rFonts w:eastAsia="仿宋_GB2312"/>
          <w:color w:val="auto"/>
          <w:kern w:val="32"/>
          <w:sz w:val="32"/>
          <w:szCs w:val="32"/>
        </w:rPr>
      </w:pPr>
      <w:r>
        <w:rPr>
          <w:rFonts w:eastAsia="仿宋_GB2312"/>
          <w:color w:val="auto"/>
          <w:kern w:val="32"/>
          <w:sz w:val="32"/>
          <w:szCs w:val="32"/>
        </w:rPr>
        <w:t>天津位于中纬度欧亚大陆东岸，是东亚季风盛行的地区，属温带季风气候，Ⅳ类风资源区，年均风速2~4米/秒。冬季受蒙古冷高压控制，盛行偏北风；夏季受西太平洋副热带高压影响，多偏南风。天津多年平均风速从沿海向北部山区递减，且沿海地区随高度增加风速增加较快。70米高度，海岸附近地区风速达到6.0~6.5米/秒，零星地区可达6.5~7.0米/秒。100米高度，海岸附近地区风速达到6.5~7.0米/秒。</w:t>
      </w:r>
    </w:p>
    <w:p>
      <w:pPr>
        <w:pStyle w:val="4"/>
        <w:spacing w:line="560" w:lineRule="exact"/>
        <w:ind w:firstLine="640"/>
        <w:rPr>
          <w:color w:val="auto"/>
          <w:szCs w:val="22"/>
        </w:rPr>
      </w:pPr>
      <w:r>
        <w:rPr>
          <w:rFonts w:hint="eastAsia"/>
          <w:color w:val="auto"/>
          <w:szCs w:val="22"/>
          <w:lang w:val="en-US" w:eastAsia="zh-CN"/>
        </w:rPr>
        <w:t>2.</w:t>
      </w:r>
      <w:r>
        <w:rPr>
          <w:color w:val="auto"/>
          <w:szCs w:val="22"/>
        </w:rPr>
        <w:t>太阳能资源</w:t>
      </w:r>
    </w:p>
    <w:p>
      <w:pPr>
        <w:overflowPunct w:val="0"/>
        <w:topLinePunct/>
        <w:adjustRightInd w:val="0"/>
        <w:snapToGrid w:val="0"/>
        <w:spacing w:line="560" w:lineRule="exact"/>
        <w:ind w:firstLine="640" w:firstLineChars="200"/>
        <w:rPr>
          <w:rFonts w:eastAsia="仿宋_GB2312"/>
          <w:color w:val="auto"/>
          <w:kern w:val="32"/>
          <w:sz w:val="32"/>
          <w:szCs w:val="32"/>
        </w:rPr>
      </w:pPr>
      <w:r>
        <w:rPr>
          <w:rFonts w:eastAsia="仿宋_GB2312"/>
          <w:color w:val="auto"/>
          <w:kern w:val="32"/>
          <w:sz w:val="32"/>
          <w:szCs w:val="32"/>
        </w:rPr>
        <w:t>天津日照条件较为充足，年日照时数2500～2900小时，属太阳能资源丰富带，Ⅱ类光资源区。从天津多年平均太阳能总辐射量的空间分布可以看出，天津年太阳能总辐射量主要表现为由北向南逐渐递减的趋势，西部地区略小于东部地区。气象数据分析显示，天津地区年均太阳能总辐射量约5256兆焦/平方米，具备较好的光伏发电开发条件。</w:t>
      </w:r>
    </w:p>
    <w:p>
      <w:pPr>
        <w:pStyle w:val="4"/>
        <w:spacing w:line="560" w:lineRule="exact"/>
        <w:ind w:firstLine="640"/>
        <w:rPr>
          <w:color w:val="auto"/>
          <w:szCs w:val="22"/>
        </w:rPr>
      </w:pPr>
      <w:r>
        <w:rPr>
          <w:rFonts w:hint="eastAsia" w:ascii="Times New Roman" w:hAnsi="Times New Roman" w:cs="Times New Roman"/>
          <w:color w:val="auto"/>
          <w:szCs w:val="22"/>
          <w:lang w:val="en-US" w:eastAsia="zh-CN"/>
        </w:rPr>
        <w:t>3.</w:t>
      </w:r>
      <w:r>
        <w:rPr>
          <w:rFonts w:ascii="Times New Roman" w:hAnsi="Times New Roman" w:cs="Times New Roman"/>
          <w:color w:val="auto"/>
          <w:szCs w:val="22"/>
          <w:lang w:eastAsia="zh-CN"/>
        </w:rPr>
        <w:t>生物质</w:t>
      </w:r>
      <w:r>
        <w:rPr>
          <w:rFonts w:ascii="Times New Roman" w:hAnsi="Times New Roman" w:cs="Times New Roman"/>
          <w:color w:val="auto"/>
          <w:szCs w:val="22"/>
        </w:rPr>
        <w:t>能</w:t>
      </w:r>
      <w:r>
        <w:rPr>
          <w:color w:val="auto"/>
          <w:szCs w:val="22"/>
        </w:rPr>
        <w:t>资源</w:t>
      </w:r>
    </w:p>
    <w:p>
      <w:pPr>
        <w:overflowPunct w:val="0"/>
        <w:topLinePunct/>
        <w:adjustRightInd w:val="0"/>
        <w:snapToGrid w:val="0"/>
        <w:spacing w:line="560" w:lineRule="exact"/>
        <w:ind w:firstLine="640" w:firstLineChars="200"/>
        <w:rPr>
          <w:rFonts w:eastAsia="仿宋_GB2312"/>
          <w:color w:val="auto"/>
          <w:kern w:val="32"/>
          <w:sz w:val="32"/>
          <w:szCs w:val="32"/>
        </w:rPr>
      </w:pPr>
      <w:r>
        <w:rPr>
          <w:rFonts w:eastAsia="仿宋_GB2312"/>
          <w:color w:val="auto"/>
          <w:kern w:val="32"/>
          <w:sz w:val="32"/>
          <w:szCs w:val="32"/>
        </w:rPr>
        <w:t>天津农作物秸秆以玉米、小麦、水稻、棉花秸秆为主，另有少量高粱、大豆等作物秸秆，每年产出总量约250万吨，可利用量约220万吨。目前，天津生活垃圾日产量约1.5万吨，全年产量超过500万吨。</w:t>
      </w:r>
    </w:p>
    <w:p>
      <w:pPr>
        <w:spacing w:line="560" w:lineRule="exact"/>
        <w:ind w:firstLine="640" w:firstLineChars="200"/>
        <w:rPr>
          <w:rFonts w:ascii="Times New Roman" w:hAnsi="Times New Roman" w:eastAsia="楷体_GB2312" w:cs="Times New Roman"/>
          <w:color w:val="auto"/>
          <w:sz w:val="32"/>
          <w:szCs w:val="32"/>
          <w:lang w:eastAsia="zh-CN"/>
        </w:rPr>
      </w:pPr>
      <w:bookmarkStart w:id="15" w:name="_Toc29378"/>
      <w:r>
        <w:rPr>
          <w:rFonts w:ascii="Times New Roman" w:hAnsi="Times New Roman" w:eastAsia="楷体_GB2312" w:cs="Times New Roman"/>
          <w:color w:val="auto"/>
          <w:sz w:val="32"/>
          <w:szCs w:val="32"/>
          <w:lang w:eastAsia="zh-CN"/>
        </w:rPr>
        <w:t>（二）发展成效</w:t>
      </w:r>
      <w:bookmarkEnd w:id="15"/>
    </w:p>
    <w:p>
      <w:pPr>
        <w:spacing w:line="560" w:lineRule="exact"/>
        <w:ind w:firstLine="640" w:firstLineChars="200"/>
        <w:rPr>
          <w:rFonts w:hint="default" w:eastAsia="仿宋_GB2312"/>
          <w:color w:val="auto"/>
          <w:sz w:val="32"/>
          <w:szCs w:val="24"/>
          <w:lang w:val="en-US" w:eastAsia="zh-CN"/>
        </w:rPr>
      </w:pPr>
      <w:r>
        <w:rPr>
          <w:rFonts w:eastAsia="仿宋_GB2312"/>
          <w:color w:val="auto"/>
          <w:sz w:val="32"/>
          <w:szCs w:val="24"/>
        </w:rPr>
        <w:t>“十三五”以来，天津</w:t>
      </w:r>
      <w:r>
        <w:rPr>
          <w:rFonts w:eastAsia="仿宋_GB2312"/>
          <w:color w:val="auto"/>
          <w:sz w:val="32"/>
          <w:szCs w:val="32"/>
        </w:rPr>
        <w:t>立足能源清洁低碳转型，重点加大风能、太阳能等可再生能源开发利用，因地制宜开发生物质能和地热能，不断扩大可再生能源电力装机规模，提高非化石能源消费比重。截至2020年底，全市可再生能源电力装机规模达到</w:t>
      </w:r>
      <w:r>
        <w:rPr>
          <w:rFonts w:eastAsia="仿宋_GB2312"/>
          <w:color w:val="auto"/>
          <w:sz w:val="32"/>
          <w:szCs w:val="24"/>
        </w:rPr>
        <w:t>282</w:t>
      </w:r>
      <w:r>
        <w:rPr>
          <w:rFonts w:eastAsia="仿宋_GB2312"/>
          <w:color w:val="auto"/>
          <w:sz w:val="32"/>
          <w:szCs w:val="32"/>
        </w:rPr>
        <w:t>万千瓦，较2015年增长227.8万千瓦。</w:t>
      </w:r>
      <w:r>
        <w:rPr>
          <w:rFonts w:eastAsia="仿宋_GB2312"/>
          <w:color w:val="auto"/>
          <w:sz w:val="32"/>
          <w:szCs w:val="24"/>
        </w:rPr>
        <w:t>其中，风电84.5万千瓦，太阳能发电163.6万千瓦，生物质发电33.4万千瓦，水电0.5万千瓦。</w:t>
      </w:r>
      <w:bookmarkStart w:id="16" w:name="_Toc40689339"/>
      <w:bookmarkStart w:id="17" w:name="_Toc464467299"/>
      <w:r>
        <w:rPr>
          <w:rFonts w:hint="eastAsia" w:eastAsia="仿宋_GB2312"/>
          <w:color w:val="auto"/>
          <w:sz w:val="32"/>
          <w:szCs w:val="24"/>
          <w:lang w:eastAsia="zh-CN"/>
        </w:rPr>
        <w:t>可再生能源消费量折合标煤</w:t>
      </w:r>
      <w:r>
        <w:rPr>
          <w:rFonts w:hint="eastAsia" w:eastAsia="仿宋_GB2312"/>
          <w:color w:val="auto"/>
          <w:sz w:val="32"/>
          <w:szCs w:val="24"/>
          <w:lang w:val="en-US" w:eastAsia="zh-CN"/>
        </w:rPr>
        <w:t>625万吨，占全市能源消费总量的7.7%。</w:t>
      </w:r>
    </w:p>
    <w:p>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color w:val="auto"/>
        </w:rPr>
      </w:pPr>
      <w:r>
        <w:rPr>
          <w:rFonts w:hint="eastAsia"/>
          <w:color w:val="auto"/>
          <w:lang w:val="en-US" w:eastAsia="zh-CN"/>
        </w:rPr>
        <w:t>1.</w:t>
      </w:r>
      <w:r>
        <w:rPr>
          <w:color w:val="auto"/>
        </w:rPr>
        <w:t>风</w:t>
      </w:r>
      <w:bookmarkEnd w:id="16"/>
      <w:bookmarkEnd w:id="17"/>
      <w:r>
        <w:rPr>
          <w:color w:val="auto"/>
          <w:lang w:eastAsia="zh-CN"/>
        </w:rPr>
        <w:t>电</w:t>
      </w:r>
    </w:p>
    <w:p>
      <w:pPr>
        <w:spacing w:line="560" w:lineRule="exact"/>
        <w:ind w:firstLine="640" w:firstLineChars="200"/>
        <w:rPr>
          <w:rFonts w:eastAsia="仿宋_GB2312"/>
          <w:color w:val="auto"/>
          <w:sz w:val="32"/>
          <w:szCs w:val="32"/>
        </w:rPr>
      </w:pPr>
      <w:r>
        <w:rPr>
          <w:rFonts w:eastAsia="仿宋_GB2312"/>
          <w:color w:val="auto"/>
          <w:sz w:val="32"/>
          <w:szCs w:val="24"/>
        </w:rPr>
        <w:t>截至2020年底，全市已建成投产大神堂风电工程，沙井子风电一期、二期、三期工程，蓟运河口风电工程，大神堂风电场完善工程，大港马棚口风电一期、二期、三期工程，汉沽洒金坨风电工程，滨海新区捷地减河风电工程，滨海新区小王庄风电一期、二期工程，滨海新区南港海上风电工程等风电项目，总装机84.5万千瓦。</w:t>
      </w:r>
    </w:p>
    <w:p>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color w:val="auto"/>
        </w:rPr>
      </w:pPr>
      <w:r>
        <w:rPr>
          <w:rFonts w:hint="eastAsia"/>
          <w:color w:val="auto"/>
          <w:lang w:val="en-US" w:eastAsia="zh-CN"/>
        </w:rPr>
        <w:t>2.</w:t>
      </w:r>
      <w:r>
        <w:rPr>
          <w:color w:val="auto"/>
          <w:lang w:eastAsia="zh-CN"/>
        </w:rPr>
        <w:t>太阳能发电</w:t>
      </w:r>
    </w:p>
    <w:p>
      <w:pPr>
        <w:spacing w:line="560" w:lineRule="exact"/>
        <w:ind w:firstLine="640" w:firstLineChars="200"/>
        <w:rPr>
          <w:rFonts w:eastAsia="仿宋_GB2312"/>
          <w:color w:val="auto"/>
          <w:sz w:val="32"/>
          <w:szCs w:val="24"/>
        </w:rPr>
      </w:pPr>
      <w:r>
        <w:rPr>
          <w:rFonts w:eastAsia="仿宋_GB2312"/>
          <w:color w:val="auto"/>
          <w:sz w:val="32"/>
          <w:szCs w:val="24"/>
        </w:rPr>
        <w:t>截至2020年底，全市已建成投产滨海新区黄港片区174兆瓦地面光伏、宁河区大月河村80兆瓦渔光互补光伏、宁河区潘庄镇20兆瓦渔光互补光伏、西青区精武镇20兆瓦农业大棚光伏等项目，总装机163.6万千瓦。</w:t>
      </w:r>
    </w:p>
    <w:p>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color w:val="auto"/>
        </w:rPr>
      </w:pPr>
      <w:r>
        <w:rPr>
          <w:rFonts w:hint="eastAsia"/>
          <w:color w:val="auto"/>
          <w:lang w:val="en-US" w:eastAsia="zh-CN"/>
        </w:rPr>
        <w:t>3.</w:t>
      </w:r>
      <w:r>
        <w:rPr>
          <w:color w:val="auto"/>
          <w:lang w:eastAsia="zh-CN"/>
        </w:rPr>
        <w:t>生物质发电</w:t>
      </w:r>
    </w:p>
    <w:p>
      <w:pPr>
        <w:spacing w:line="560" w:lineRule="exact"/>
        <w:ind w:firstLine="640" w:firstLineChars="200"/>
        <w:rPr>
          <w:rFonts w:eastAsia="仿宋_GB2312"/>
          <w:color w:val="auto"/>
          <w:sz w:val="32"/>
          <w:szCs w:val="24"/>
        </w:rPr>
      </w:pPr>
      <w:r>
        <w:rPr>
          <w:rFonts w:eastAsia="仿宋_GB2312"/>
          <w:color w:val="auto"/>
          <w:sz w:val="32"/>
          <w:szCs w:val="24"/>
        </w:rPr>
        <w:t>垃圾发电。截至2020年底，全市已建成投产双港垃圾焚烧发电厂、青光垃圾综合处理厂、滨海新区垃圾焚烧发电厂、大港垃圾焚烧发电厂、双口垃圾填埋气发电厂、蓟县垃圾发电厂、贯庄垃圾焚烧发电厂、宁河垃圾焚烧发电厂等垃圾发电项目，总装机29.6万千瓦。</w:t>
      </w:r>
    </w:p>
    <w:p>
      <w:pPr>
        <w:spacing w:line="560" w:lineRule="exact"/>
        <w:ind w:firstLine="640" w:firstLineChars="200"/>
        <w:rPr>
          <w:rFonts w:eastAsia="仿宋_GB2312"/>
          <w:color w:val="auto"/>
          <w:sz w:val="32"/>
          <w:szCs w:val="24"/>
        </w:rPr>
      </w:pPr>
      <w:r>
        <w:rPr>
          <w:rFonts w:eastAsia="仿宋_GB2312"/>
          <w:color w:val="auto"/>
          <w:sz w:val="32"/>
          <w:szCs w:val="24"/>
        </w:rPr>
        <w:t>秸秆发电。截至2020年底，全市已建成投产秸秆发电厂1座，为宁河秸秆焚烧发电厂，装机3.</w:t>
      </w:r>
      <w:r>
        <w:rPr>
          <w:rFonts w:hint="eastAsia" w:eastAsia="仿宋_GB2312"/>
          <w:color w:val="auto"/>
          <w:sz w:val="32"/>
          <w:szCs w:val="24"/>
          <w:lang w:val="en-US" w:eastAsia="zh-CN"/>
        </w:rPr>
        <w:t>8</w:t>
      </w:r>
      <w:r>
        <w:rPr>
          <w:rFonts w:eastAsia="仿宋_GB2312"/>
          <w:color w:val="auto"/>
          <w:sz w:val="32"/>
          <w:szCs w:val="24"/>
        </w:rPr>
        <w:t>万千瓦。</w:t>
      </w:r>
    </w:p>
    <w:p>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color w:val="auto"/>
        </w:rPr>
      </w:pPr>
      <w:r>
        <w:rPr>
          <w:rFonts w:hint="eastAsia" w:ascii="Times New Roman" w:hAnsi="Times New Roman" w:cs="Times New Roman"/>
          <w:color w:val="auto"/>
          <w:lang w:val="en-US" w:eastAsia="zh-CN"/>
        </w:rPr>
        <w:t>4.</w:t>
      </w:r>
      <w:r>
        <w:rPr>
          <w:rFonts w:ascii="Times New Roman" w:hAnsi="Times New Roman" w:cs="Times New Roman"/>
          <w:color w:val="auto"/>
          <w:lang w:eastAsia="zh-CN"/>
        </w:rPr>
        <w:t>水电</w:t>
      </w:r>
    </w:p>
    <w:p>
      <w:pPr>
        <w:overflowPunct w:val="0"/>
        <w:topLinePunct/>
        <w:adjustRightInd w:val="0"/>
        <w:snapToGrid w:val="0"/>
        <w:spacing w:line="560" w:lineRule="exact"/>
        <w:ind w:firstLine="640" w:firstLineChars="200"/>
        <w:rPr>
          <w:rFonts w:eastAsia="仿宋_GB2312"/>
          <w:color w:val="auto"/>
          <w:kern w:val="32"/>
          <w:sz w:val="32"/>
          <w:szCs w:val="32"/>
        </w:rPr>
      </w:pPr>
      <w:r>
        <w:rPr>
          <w:rFonts w:eastAsia="仿宋_GB2312"/>
          <w:color w:val="auto"/>
          <w:sz w:val="32"/>
          <w:szCs w:val="24"/>
        </w:rPr>
        <w:t>天津有小型水电站1座，为于桥水库水电站，装机0.5万千瓦，2020年发电量993万千瓦时。</w:t>
      </w:r>
    </w:p>
    <w:p>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color w:val="auto"/>
        </w:rPr>
      </w:pPr>
      <w:r>
        <w:rPr>
          <w:rFonts w:hint="eastAsia" w:ascii="Times New Roman" w:hAnsi="Times New Roman" w:cs="Times New Roman"/>
          <w:color w:val="auto"/>
          <w:lang w:val="en-US" w:eastAsia="zh-CN"/>
        </w:rPr>
        <w:t>5.</w:t>
      </w:r>
      <w:r>
        <w:rPr>
          <w:rFonts w:ascii="Times New Roman" w:hAnsi="Times New Roman" w:cs="Times New Roman"/>
          <w:color w:val="auto"/>
          <w:lang w:eastAsia="zh-CN"/>
        </w:rPr>
        <w:t>地热能</w:t>
      </w:r>
    </w:p>
    <w:p>
      <w:pPr>
        <w:overflowPunct w:val="0"/>
        <w:topLinePunct/>
        <w:adjustRightInd w:val="0"/>
        <w:snapToGrid w:val="0"/>
        <w:spacing w:line="560" w:lineRule="exact"/>
        <w:ind w:firstLine="640" w:firstLineChars="200"/>
        <w:rPr>
          <w:rFonts w:eastAsia="仿宋_GB2312"/>
          <w:color w:val="auto"/>
          <w:sz w:val="32"/>
          <w:szCs w:val="24"/>
        </w:rPr>
      </w:pPr>
      <w:r>
        <w:rPr>
          <w:rFonts w:eastAsia="仿宋_GB2312"/>
          <w:color w:val="auto"/>
          <w:sz w:val="32"/>
          <w:szCs w:val="24"/>
        </w:rPr>
        <w:t>截至2020年底，全市登记在册的地热开采井343眼，年开采量4372万立方米，供热面积约3422万平方米；浅层地热开发利用工程279个，供热面积约835万平方米。</w:t>
      </w:r>
    </w:p>
    <w:p>
      <w:pPr>
        <w:overflowPunct w:val="0"/>
        <w:topLinePunct/>
        <w:adjustRightInd w:val="0"/>
        <w:snapToGrid w:val="0"/>
        <w:spacing w:line="560" w:lineRule="exact"/>
        <w:jc w:val="center"/>
        <w:rPr>
          <w:rFonts w:eastAsia="仿宋_GB2312"/>
          <w:color w:val="auto"/>
          <w:sz w:val="32"/>
          <w:szCs w:val="24"/>
        </w:rPr>
      </w:pPr>
      <w:r>
        <w:rPr>
          <w:rFonts w:eastAsia="仿宋_GB2312"/>
          <w:bCs/>
          <w:color w:val="auto"/>
          <w:sz w:val="30"/>
          <w:szCs w:val="30"/>
        </w:rPr>
        <w:t xml:space="preserve">表1   </w:t>
      </w:r>
      <w:r>
        <w:rPr>
          <w:rFonts w:hint="eastAsia" w:eastAsia="仿宋_GB2312"/>
          <w:bCs/>
          <w:color w:val="auto"/>
          <w:sz w:val="30"/>
          <w:szCs w:val="30"/>
        </w:rPr>
        <w:t>“十三五”可再生能源发展成效</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68"/>
        <w:gridCol w:w="1440"/>
        <w:gridCol w:w="1440"/>
        <w:gridCol w:w="1335"/>
        <w:gridCol w:w="1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764" w:hRule="atLeast"/>
          <w:tblHeader/>
          <w:jc w:val="center"/>
        </w:trPr>
        <w:tc>
          <w:tcPr>
            <w:tcW w:w="3468" w:type="dxa"/>
            <w:noWrap w:val="0"/>
            <w:vAlign w:val="center"/>
          </w:tcPr>
          <w:p>
            <w:pPr>
              <w:widowControl/>
              <w:jc w:val="center"/>
              <w:rPr>
                <w:rFonts w:eastAsia="仿宋_GB2312"/>
                <w:b/>
                <w:color w:val="auto"/>
                <w:kern w:val="0"/>
                <w:sz w:val="24"/>
                <w:szCs w:val="24"/>
              </w:rPr>
            </w:pPr>
            <w:r>
              <w:rPr>
                <w:rFonts w:eastAsia="仿宋_GB2312"/>
                <w:b/>
                <w:color w:val="auto"/>
                <w:kern w:val="0"/>
                <w:sz w:val="24"/>
                <w:szCs w:val="24"/>
              </w:rPr>
              <w:t>内容</w:t>
            </w:r>
          </w:p>
        </w:tc>
        <w:tc>
          <w:tcPr>
            <w:tcW w:w="1440" w:type="dxa"/>
            <w:noWrap w:val="0"/>
            <w:vAlign w:val="center"/>
          </w:tcPr>
          <w:p>
            <w:pPr>
              <w:widowControl/>
              <w:jc w:val="center"/>
              <w:rPr>
                <w:rFonts w:eastAsia="仿宋_GB2312"/>
                <w:b/>
                <w:color w:val="auto"/>
                <w:kern w:val="0"/>
                <w:sz w:val="24"/>
                <w:szCs w:val="24"/>
              </w:rPr>
            </w:pPr>
            <w:r>
              <w:rPr>
                <w:rFonts w:eastAsia="仿宋_GB2312"/>
                <w:b/>
                <w:color w:val="auto"/>
                <w:kern w:val="0"/>
                <w:sz w:val="24"/>
                <w:szCs w:val="24"/>
              </w:rPr>
              <w:t>2015年</w:t>
            </w:r>
          </w:p>
        </w:tc>
        <w:tc>
          <w:tcPr>
            <w:tcW w:w="1440" w:type="dxa"/>
            <w:noWrap w:val="0"/>
            <w:vAlign w:val="center"/>
          </w:tcPr>
          <w:p>
            <w:pPr>
              <w:widowControl/>
              <w:jc w:val="center"/>
              <w:rPr>
                <w:rFonts w:eastAsia="仿宋_GB2312"/>
                <w:b/>
                <w:color w:val="auto"/>
                <w:kern w:val="0"/>
                <w:sz w:val="24"/>
                <w:szCs w:val="24"/>
              </w:rPr>
            </w:pPr>
            <w:r>
              <w:rPr>
                <w:rFonts w:eastAsia="仿宋_GB2312"/>
                <w:b/>
                <w:color w:val="auto"/>
                <w:kern w:val="0"/>
                <w:sz w:val="24"/>
                <w:szCs w:val="24"/>
              </w:rPr>
              <w:t>“十三五”</w:t>
            </w:r>
          </w:p>
          <w:p>
            <w:pPr>
              <w:widowControl/>
              <w:jc w:val="center"/>
              <w:rPr>
                <w:rFonts w:eastAsia="仿宋_GB2312"/>
                <w:b/>
                <w:color w:val="auto"/>
                <w:kern w:val="0"/>
                <w:sz w:val="24"/>
                <w:szCs w:val="24"/>
              </w:rPr>
            </w:pPr>
            <w:r>
              <w:rPr>
                <w:rFonts w:eastAsia="仿宋_GB2312"/>
                <w:b/>
                <w:color w:val="auto"/>
                <w:kern w:val="0"/>
                <w:sz w:val="24"/>
                <w:szCs w:val="24"/>
              </w:rPr>
              <w:t>预期目标</w:t>
            </w:r>
          </w:p>
        </w:tc>
        <w:tc>
          <w:tcPr>
            <w:tcW w:w="1335" w:type="dxa"/>
            <w:noWrap w:val="0"/>
            <w:vAlign w:val="center"/>
          </w:tcPr>
          <w:p>
            <w:pPr>
              <w:widowControl/>
              <w:jc w:val="center"/>
              <w:rPr>
                <w:rFonts w:eastAsia="仿宋_GB2312"/>
                <w:b/>
                <w:color w:val="auto"/>
                <w:kern w:val="0"/>
                <w:sz w:val="24"/>
                <w:szCs w:val="24"/>
              </w:rPr>
            </w:pPr>
            <w:r>
              <w:rPr>
                <w:rFonts w:eastAsia="仿宋_GB2312"/>
                <w:b/>
                <w:color w:val="auto"/>
                <w:kern w:val="0"/>
                <w:sz w:val="24"/>
                <w:szCs w:val="24"/>
              </w:rPr>
              <w:t>2020年</w:t>
            </w:r>
          </w:p>
        </w:tc>
        <w:tc>
          <w:tcPr>
            <w:tcW w:w="1038" w:type="dxa"/>
            <w:noWrap w:val="0"/>
            <w:vAlign w:val="center"/>
          </w:tcPr>
          <w:p>
            <w:pPr>
              <w:widowControl/>
              <w:jc w:val="center"/>
              <w:rPr>
                <w:rFonts w:eastAsia="仿宋_GB2312"/>
                <w:b/>
                <w:color w:val="auto"/>
                <w:kern w:val="0"/>
                <w:sz w:val="24"/>
                <w:szCs w:val="24"/>
              </w:rPr>
            </w:pPr>
            <w:r>
              <w:rPr>
                <w:rFonts w:eastAsia="仿宋_GB2312"/>
                <w:b/>
                <w:color w:val="auto"/>
                <w:kern w:val="0"/>
                <w:sz w:val="24"/>
                <w:szCs w:val="24"/>
              </w:rPr>
              <w:t>增幅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573" w:hRule="atLeast"/>
          <w:jc w:val="center"/>
        </w:trPr>
        <w:tc>
          <w:tcPr>
            <w:tcW w:w="3468" w:type="dxa"/>
            <w:noWrap w:val="0"/>
            <w:vAlign w:val="center"/>
          </w:tcPr>
          <w:p>
            <w:pPr>
              <w:widowControl/>
              <w:jc w:val="left"/>
              <w:rPr>
                <w:rFonts w:eastAsia="仿宋_GB2312"/>
                <w:color w:val="auto"/>
                <w:kern w:val="0"/>
                <w:sz w:val="24"/>
                <w:szCs w:val="24"/>
              </w:rPr>
            </w:pPr>
            <w:r>
              <w:rPr>
                <w:rFonts w:eastAsia="仿宋_GB2312"/>
                <w:color w:val="auto"/>
                <w:kern w:val="0"/>
                <w:sz w:val="24"/>
                <w:szCs w:val="24"/>
              </w:rPr>
              <w:t>一、电力装机（万千瓦）</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54.2</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212</w:t>
            </w:r>
          </w:p>
        </w:tc>
        <w:tc>
          <w:tcPr>
            <w:tcW w:w="133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282</w:t>
            </w:r>
          </w:p>
        </w:tc>
        <w:tc>
          <w:tcPr>
            <w:tcW w:w="1038" w:type="dxa"/>
            <w:noWrap w:val="0"/>
            <w:vAlign w:val="center"/>
          </w:tcPr>
          <w:p>
            <w:pPr>
              <w:jc w:val="center"/>
              <w:rPr>
                <w:rFonts w:eastAsia="仿宋_GB2312"/>
                <w:color w:val="auto"/>
                <w:kern w:val="0"/>
                <w:sz w:val="24"/>
                <w:szCs w:val="24"/>
              </w:rPr>
            </w:pPr>
            <w:r>
              <w:rPr>
                <w:rFonts w:eastAsia="仿宋_GB2312"/>
                <w:color w:val="auto"/>
                <w:kern w:val="0"/>
                <w:sz w:val="24"/>
                <w:szCs w:val="24"/>
              </w:rPr>
              <w:t>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573" w:hRule="atLeast"/>
          <w:jc w:val="center"/>
        </w:trPr>
        <w:tc>
          <w:tcPr>
            <w:tcW w:w="3468" w:type="dxa"/>
            <w:noWrap w:val="0"/>
            <w:vAlign w:val="center"/>
          </w:tcPr>
          <w:p>
            <w:pPr>
              <w:widowControl/>
              <w:jc w:val="left"/>
              <w:rPr>
                <w:rFonts w:eastAsia="仿宋_GB2312"/>
                <w:color w:val="auto"/>
                <w:kern w:val="0"/>
                <w:sz w:val="24"/>
                <w:szCs w:val="24"/>
              </w:rPr>
            </w:pPr>
            <w:r>
              <w:rPr>
                <w:rFonts w:eastAsia="仿宋_GB2312"/>
                <w:color w:val="auto"/>
                <w:kern w:val="0"/>
                <w:sz w:val="24"/>
                <w:szCs w:val="24"/>
              </w:rPr>
              <w:t>1、风电（万千瓦）</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32.3</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116</w:t>
            </w:r>
          </w:p>
        </w:tc>
        <w:tc>
          <w:tcPr>
            <w:tcW w:w="133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84.5</w:t>
            </w:r>
          </w:p>
        </w:tc>
        <w:tc>
          <w:tcPr>
            <w:tcW w:w="1038" w:type="dxa"/>
            <w:noWrap w:val="0"/>
            <w:vAlign w:val="center"/>
          </w:tcPr>
          <w:p>
            <w:pPr>
              <w:jc w:val="center"/>
              <w:rPr>
                <w:rFonts w:eastAsia="仿宋_GB2312"/>
                <w:color w:val="auto"/>
                <w:kern w:val="0"/>
                <w:sz w:val="24"/>
                <w:szCs w:val="24"/>
              </w:rPr>
            </w:pPr>
            <w:r>
              <w:rPr>
                <w:rFonts w:eastAsia="仿宋_GB2312"/>
                <w:color w:val="auto"/>
                <w:kern w:val="0"/>
                <w:sz w:val="24"/>
                <w:szCs w:val="24"/>
              </w:rPr>
              <w:t>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573" w:hRule="atLeast"/>
          <w:jc w:val="center"/>
        </w:trPr>
        <w:tc>
          <w:tcPr>
            <w:tcW w:w="3468" w:type="dxa"/>
            <w:noWrap w:val="0"/>
            <w:vAlign w:val="center"/>
          </w:tcPr>
          <w:p>
            <w:pPr>
              <w:widowControl/>
              <w:jc w:val="left"/>
              <w:rPr>
                <w:rFonts w:eastAsia="仿宋_GB2312"/>
                <w:color w:val="auto"/>
                <w:kern w:val="0"/>
                <w:sz w:val="24"/>
                <w:szCs w:val="24"/>
              </w:rPr>
            </w:pPr>
            <w:r>
              <w:rPr>
                <w:rFonts w:eastAsia="仿宋_GB2312"/>
                <w:color w:val="auto"/>
                <w:kern w:val="0"/>
                <w:sz w:val="24"/>
                <w:szCs w:val="24"/>
              </w:rPr>
              <w:t>2、光伏发电（万千瓦）</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12.5</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80</w:t>
            </w:r>
          </w:p>
        </w:tc>
        <w:tc>
          <w:tcPr>
            <w:tcW w:w="133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163.6</w:t>
            </w:r>
          </w:p>
        </w:tc>
        <w:tc>
          <w:tcPr>
            <w:tcW w:w="1038" w:type="dxa"/>
            <w:noWrap w:val="0"/>
            <w:vAlign w:val="center"/>
          </w:tcPr>
          <w:p>
            <w:pPr>
              <w:jc w:val="center"/>
              <w:rPr>
                <w:rFonts w:eastAsia="仿宋_GB2312"/>
                <w:color w:val="auto"/>
                <w:kern w:val="0"/>
                <w:sz w:val="24"/>
                <w:szCs w:val="24"/>
              </w:rPr>
            </w:pPr>
            <w:r>
              <w:rPr>
                <w:rFonts w:eastAsia="仿宋_GB2312"/>
                <w:color w:val="auto"/>
                <w:kern w:val="0"/>
                <w:sz w:val="24"/>
                <w:szCs w:val="24"/>
              </w:rPr>
              <w:t>1209%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573" w:hRule="atLeast"/>
          <w:jc w:val="center"/>
        </w:trPr>
        <w:tc>
          <w:tcPr>
            <w:tcW w:w="3468" w:type="dxa"/>
            <w:noWrap w:val="0"/>
            <w:vAlign w:val="center"/>
          </w:tcPr>
          <w:p>
            <w:pPr>
              <w:widowControl/>
              <w:jc w:val="left"/>
              <w:rPr>
                <w:rFonts w:eastAsia="仿宋_GB2312"/>
                <w:color w:val="auto"/>
                <w:kern w:val="0"/>
                <w:sz w:val="24"/>
                <w:szCs w:val="24"/>
              </w:rPr>
            </w:pPr>
            <w:r>
              <w:rPr>
                <w:rFonts w:eastAsia="仿宋_GB2312"/>
                <w:color w:val="auto"/>
                <w:kern w:val="0"/>
                <w:sz w:val="24"/>
                <w:szCs w:val="24"/>
              </w:rPr>
              <w:t>3、生物质发电（万千瓦）</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8.9</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15.5</w:t>
            </w:r>
          </w:p>
        </w:tc>
        <w:tc>
          <w:tcPr>
            <w:tcW w:w="133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33.4</w:t>
            </w:r>
          </w:p>
        </w:tc>
        <w:tc>
          <w:tcPr>
            <w:tcW w:w="1038" w:type="dxa"/>
            <w:noWrap w:val="0"/>
            <w:vAlign w:val="center"/>
          </w:tcPr>
          <w:p>
            <w:pPr>
              <w:jc w:val="center"/>
              <w:rPr>
                <w:rFonts w:eastAsia="仿宋_GB2312"/>
                <w:color w:val="auto"/>
                <w:kern w:val="0"/>
                <w:sz w:val="24"/>
                <w:szCs w:val="24"/>
              </w:rPr>
            </w:pPr>
            <w:r>
              <w:rPr>
                <w:rFonts w:eastAsia="仿宋_GB2312"/>
                <w:color w:val="auto"/>
                <w:kern w:val="0"/>
                <w:sz w:val="24"/>
                <w:szCs w:val="24"/>
              </w:rPr>
              <w:t>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573" w:hRule="atLeast"/>
          <w:jc w:val="center"/>
        </w:trPr>
        <w:tc>
          <w:tcPr>
            <w:tcW w:w="3468" w:type="dxa"/>
            <w:noWrap w:val="0"/>
            <w:vAlign w:val="center"/>
          </w:tcPr>
          <w:p>
            <w:pPr>
              <w:widowControl/>
              <w:jc w:val="left"/>
              <w:rPr>
                <w:rFonts w:eastAsia="仿宋_GB2312"/>
                <w:color w:val="auto"/>
                <w:kern w:val="0"/>
                <w:sz w:val="24"/>
                <w:szCs w:val="24"/>
              </w:rPr>
            </w:pPr>
            <w:r>
              <w:rPr>
                <w:rFonts w:eastAsia="仿宋_GB2312"/>
                <w:color w:val="auto"/>
                <w:kern w:val="0"/>
                <w:sz w:val="24"/>
                <w:szCs w:val="24"/>
              </w:rPr>
              <w:t>4、水电（万千瓦）</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0.5</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0.5</w:t>
            </w:r>
          </w:p>
        </w:tc>
        <w:tc>
          <w:tcPr>
            <w:tcW w:w="133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0.5</w:t>
            </w:r>
          </w:p>
        </w:tc>
        <w:tc>
          <w:tcPr>
            <w:tcW w:w="1038" w:type="dxa"/>
            <w:noWrap w:val="0"/>
            <w:vAlign w:val="center"/>
          </w:tcPr>
          <w:p>
            <w:pPr>
              <w:jc w:val="center"/>
              <w:rPr>
                <w:rFonts w:eastAsia="仿宋_GB2312"/>
                <w:color w:val="auto"/>
                <w:kern w:val="0"/>
                <w:sz w:val="24"/>
                <w:szCs w:val="24"/>
              </w:rPr>
            </w:pPr>
            <w:r>
              <w:rPr>
                <w:rFonts w:eastAsia="仿宋_GB2312"/>
                <w:color w:val="auto"/>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573" w:hRule="atLeast"/>
          <w:jc w:val="center"/>
        </w:trPr>
        <w:tc>
          <w:tcPr>
            <w:tcW w:w="3468" w:type="dxa"/>
            <w:noWrap w:val="0"/>
            <w:vAlign w:val="center"/>
          </w:tcPr>
          <w:p>
            <w:pPr>
              <w:widowControl/>
              <w:jc w:val="left"/>
              <w:rPr>
                <w:rFonts w:eastAsia="仿宋_GB2312"/>
                <w:color w:val="auto"/>
                <w:kern w:val="0"/>
                <w:sz w:val="24"/>
                <w:szCs w:val="24"/>
              </w:rPr>
            </w:pPr>
            <w:r>
              <w:rPr>
                <w:rFonts w:eastAsia="仿宋_GB2312"/>
                <w:color w:val="auto"/>
                <w:kern w:val="0"/>
                <w:sz w:val="24"/>
                <w:szCs w:val="24"/>
              </w:rPr>
              <w:t>二、占电力总装机比重（%）</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4.1</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10</w:t>
            </w:r>
          </w:p>
        </w:tc>
        <w:tc>
          <w:tcPr>
            <w:tcW w:w="133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14.7</w:t>
            </w:r>
          </w:p>
        </w:tc>
        <w:tc>
          <w:tcPr>
            <w:tcW w:w="1038" w:type="dxa"/>
            <w:noWrap w:val="0"/>
            <w:vAlign w:val="center"/>
          </w:tcPr>
          <w:p>
            <w:pPr>
              <w:jc w:val="center"/>
              <w:rPr>
                <w:rFonts w:hint="eastAsia" w:eastAsia="仿宋_GB2312"/>
                <w:color w:val="auto"/>
                <w:kern w:val="0"/>
                <w:sz w:val="24"/>
                <w:szCs w:val="24"/>
                <w:lang w:eastAsia="zh-CN"/>
              </w:rPr>
            </w:pPr>
            <w:r>
              <w:rPr>
                <w:rFonts w:eastAsia="仿宋_GB2312"/>
                <w:color w:val="auto"/>
                <w:kern w:val="0"/>
                <w:sz w:val="24"/>
                <w:szCs w:val="24"/>
              </w:rPr>
              <w:t>10.6</w:t>
            </w:r>
            <w:r>
              <w:rPr>
                <w:rFonts w:hint="eastAsia" w:eastAsia="仿宋_GB2312"/>
                <w:color w:val="auto"/>
                <w:kern w:val="0"/>
                <w:sz w:val="24"/>
                <w:szCs w:val="24"/>
                <w:lang w:eastAsia="zh-CN"/>
              </w:rPr>
              <w:t>个</w:t>
            </w:r>
          </w:p>
          <w:p>
            <w:pPr>
              <w:jc w:val="center"/>
              <w:rPr>
                <w:rFonts w:eastAsia="仿宋_GB2312"/>
                <w:color w:val="auto"/>
                <w:kern w:val="0"/>
                <w:sz w:val="24"/>
                <w:szCs w:val="24"/>
              </w:rPr>
            </w:pPr>
            <w:r>
              <w:rPr>
                <w:rFonts w:hint="eastAsia" w:eastAsia="仿宋_GB2312"/>
                <w:color w:val="auto"/>
                <w:kern w:val="0"/>
                <w:sz w:val="24"/>
                <w:szCs w:val="24"/>
                <w:lang w:eastAsia="zh-CN"/>
              </w:rPr>
              <w:t>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573" w:hRule="atLeast"/>
          <w:jc w:val="center"/>
        </w:trPr>
        <w:tc>
          <w:tcPr>
            <w:tcW w:w="3468" w:type="dxa"/>
            <w:noWrap w:val="0"/>
            <w:vAlign w:val="center"/>
          </w:tcPr>
          <w:p>
            <w:pPr>
              <w:widowControl/>
              <w:jc w:val="left"/>
              <w:rPr>
                <w:rFonts w:eastAsia="仿宋_GB2312"/>
                <w:color w:val="auto"/>
                <w:kern w:val="0"/>
                <w:sz w:val="24"/>
                <w:szCs w:val="24"/>
              </w:rPr>
            </w:pPr>
            <w:r>
              <w:rPr>
                <w:rFonts w:eastAsia="仿宋_GB2312"/>
                <w:color w:val="auto"/>
                <w:kern w:val="0"/>
                <w:sz w:val="24"/>
                <w:szCs w:val="24"/>
              </w:rPr>
              <w:t>三、电力消纳量（亿千瓦时）</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63</w:t>
            </w:r>
          </w:p>
        </w:tc>
        <w:tc>
          <w:tcPr>
            <w:tcW w:w="1440" w:type="dxa"/>
            <w:noWrap w:val="0"/>
            <w:vAlign w:val="center"/>
          </w:tcPr>
          <w:p>
            <w:pPr>
              <w:widowControl/>
              <w:jc w:val="center"/>
              <w:rPr>
                <w:rFonts w:eastAsia="仿宋_GB2312"/>
                <w:color w:val="auto"/>
                <w:kern w:val="0"/>
                <w:sz w:val="24"/>
                <w:szCs w:val="24"/>
                <w:highlight w:val="yellow"/>
              </w:rPr>
            </w:pPr>
            <w:r>
              <w:rPr>
                <w:rFonts w:eastAsia="仿宋_GB2312"/>
                <w:color w:val="auto"/>
                <w:kern w:val="0"/>
                <w:sz w:val="24"/>
                <w:szCs w:val="24"/>
              </w:rPr>
              <w:t>100</w:t>
            </w:r>
          </w:p>
        </w:tc>
        <w:tc>
          <w:tcPr>
            <w:tcW w:w="133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140.5</w:t>
            </w:r>
          </w:p>
        </w:tc>
        <w:tc>
          <w:tcPr>
            <w:tcW w:w="1038" w:type="dxa"/>
            <w:noWrap w:val="0"/>
            <w:vAlign w:val="center"/>
          </w:tcPr>
          <w:p>
            <w:pPr>
              <w:jc w:val="center"/>
              <w:rPr>
                <w:rFonts w:eastAsia="仿宋_GB2312"/>
                <w:color w:val="auto"/>
                <w:kern w:val="0"/>
                <w:sz w:val="24"/>
                <w:szCs w:val="24"/>
              </w:rPr>
            </w:pPr>
            <w:r>
              <w:rPr>
                <w:rFonts w:eastAsia="仿宋_GB2312"/>
                <w:color w:val="auto"/>
                <w:kern w:val="0"/>
                <w:sz w:val="24"/>
                <w:szCs w:val="24"/>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cantSplit/>
          <w:trHeight w:val="573" w:hRule="atLeast"/>
          <w:jc w:val="center"/>
        </w:trPr>
        <w:tc>
          <w:tcPr>
            <w:tcW w:w="3468" w:type="dxa"/>
            <w:noWrap w:val="0"/>
            <w:vAlign w:val="center"/>
          </w:tcPr>
          <w:p>
            <w:pPr>
              <w:widowControl/>
              <w:jc w:val="left"/>
              <w:rPr>
                <w:rFonts w:eastAsia="仿宋_GB2312"/>
                <w:color w:val="auto"/>
                <w:kern w:val="0"/>
                <w:sz w:val="24"/>
                <w:szCs w:val="24"/>
              </w:rPr>
            </w:pPr>
            <w:r>
              <w:rPr>
                <w:rFonts w:eastAsia="仿宋_GB2312"/>
                <w:color w:val="auto"/>
                <w:kern w:val="0"/>
                <w:sz w:val="24"/>
                <w:szCs w:val="24"/>
              </w:rPr>
              <w:t>四、占全社会用电量比重（%）</w:t>
            </w:r>
          </w:p>
        </w:tc>
        <w:tc>
          <w:tcPr>
            <w:tcW w:w="144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7.8</w:t>
            </w:r>
          </w:p>
        </w:tc>
        <w:tc>
          <w:tcPr>
            <w:tcW w:w="1440" w:type="dxa"/>
            <w:noWrap w:val="0"/>
            <w:vAlign w:val="center"/>
          </w:tcPr>
          <w:p>
            <w:pPr>
              <w:widowControl/>
              <w:jc w:val="center"/>
              <w:rPr>
                <w:rFonts w:eastAsia="仿宋_GB2312"/>
                <w:color w:val="auto"/>
                <w:kern w:val="0"/>
                <w:sz w:val="24"/>
                <w:szCs w:val="24"/>
                <w:highlight w:val="yellow"/>
              </w:rPr>
            </w:pPr>
            <w:r>
              <w:rPr>
                <w:rFonts w:eastAsia="仿宋_GB2312"/>
                <w:color w:val="auto"/>
                <w:kern w:val="0"/>
                <w:sz w:val="24"/>
                <w:szCs w:val="24"/>
              </w:rPr>
              <w:t>12</w:t>
            </w:r>
          </w:p>
        </w:tc>
        <w:tc>
          <w:tcPr>
            <w:tcW w:w="133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16.1</w:t>
            </w:r>
          </w:p>
        </w:tc>
        <w:tc>
          <w:tcPr>
            <w:tcW w:w="1038" w:type="dxa"/>
            <w:noWrap w:val="0"/>
            <w:vAlign w:val="center"/>
          </w:tcPr>
          <w:p>
            <w:pPr>
              <w:jc w:val="center"/>
              <w:rPr>
                <w:rFonts w:hint="eastAsia" w:eastAsia="仿宋_GB2312"/>
                <w:color w:val="auto"/>
                <w:kern w:val="0"/>
                <w:sz w:val="24"/>
                <w:szCs w:val="24"/>
                <w:lang w:eastAsia="zh-CN"/>
              </w:rPr>
            </w:pPr>
            <w:r>
              <w:rPr>
                <w:rFonts w:eastAsia="仿宋_GB2312"/>
                <w:color w:val="auto"/>
                <w:kern w:val="0"/>
                <w:sz w:val="24"/>
                <w:szCs w:val="24"/>
              </w:rPr>
              <w:t>8.3</w:t>
            </w:r>
            <w:r>
              <w:rPr>
                <w:rFonts w:hint="eastAsia" w:eastAsia="仿宋_GB2312"/>
                <w:color w:val="auto"/>
                <w:kern w:val="0"/>
                <w:sz w:val="24"/>
                <w:szCs w:val="24"/>
                <w:lang w:eastAsia="zh-CN"/>
              </w:rPr>
              <w:t>个</w:t>
            </w:r>
          </w:p>
          <w:p>
            <w:pPr>
              <w:jc w:val="center"/>
              <w:rPr>
                <w:rFonts w:hint="eastAsia" w:eastAsia="仿宋_GB2312"/>
                <w:color w:val="auto"/>
                <w:kern w:val="0"/>
                <w:sz w:val="24"/>
                <w:szCs w:val="24"/>
                <w:lang w:eastAsia="zh-CN"/>
              </w:rPr>
            </w:pPr>
            <w:r>
              <w:rPr>
                <w:rFonts w:hint="eastAsia" w:eastAsia="仿宋_GB2312"/>
                <w:color w:val="auto"/>
                <w:kern w:val="0"/>
                <w:sz w:val="24"/>
                <w:szCs w:val="24"/>
                <w:lang w:eastAsia="zh-CN"/>
              </w:rPr>
              <w:t>百分点</w:t>
            </w:r>
          </w:p>
        </w:tc>
      </w:tr>
    </w:tbl>
    <w:p>
      <w:pPr>
        <w:pStyle w:val="2"/>
        <w:spacing w:before="0" w:beforeLines="0" w:line="560" w:lineRule="exact"/>
        <w:ind w:firstLine="640"/>
        <w:rPr>
          <w:color w:val="auto"/>
        </w:rPr>
      </w:pPr>
      <w:bookmarkStart w:id="18" w:name="_Toc29754"/>
      <w:r>
        <w:rPr>
          <w:color w:val="auto"/>
          <w:lang w:eastAsia="zh-CN"/>
        </w:rPr>
        <w:t>二、面临形势和存在问题</w:t>
      </w:r>
      <w:bookmarkEnd w:id="18"/>
    </w:p>
    <w:p>
      <w:pPr>
        <w:spacing w:line="560" w:lineRule="exact"/>
        <w:ind w:firstLine="640" w:firstLineChars="200"/>
        <w:rPr>
          <w:rFonts w:ascii="Times New Roman" w:hAnsi="Times New Roman" w:eastAsia="楷体_GB2312" w:cs="Times New Roman"/>
          <w:color w:val="auto"/>
          <w:sz w:val="32"/>
          <w:szCs w:val="32"/>
        </w:rPr>
      </w:pPr>
      <w:bookmarkStart w:id="19" w:name="_Toc20344"/>
      <w:bookmarkStart w:id="20" w:name="_Toc4269"/>
      <w:bookmarkStart w:id="21" w:name="_Toc21445"/>
      <w:r>
        <w:rPr>
          <w:rFonts w:ascii="Times New Roman" w:hAnsi="Times New Roman" w:eastAsia="楷体_GB2312" w:cs="Times New Roman"/>
          <w:color w:val="auto"/>
          <w:sz w:val="32"/>
          <w:szCs w:val="32"/>
          <w:lang w:eastAsia="zh-CN"/>
        </w:rPr>
        <w:t>（一）</w:t>
      </w:r>
      <w:r>
        <w:rPr>
          <w:rFonts w:ascii="Times New Roman" w:hAnsi="Times New Roman" w:eastAsia="楷体_GB2312" w:cs="Times New Roman"/>
          <w:color w:val="auto"/>
          <w:sz w:val="32"/>
          <w:szCs w:val="32"/>
        </w:rPr>
        <w:t>面临形势</w:t>
      </w:r>
      <w:bookmarkEnd w:id="19"/>
      <w:bookmarkEnd w:id="20"/>
      <w:bookmarkEnd w:id="21"/>
    </w:p>
    <w:p>
      <w:pPr>
        <w:overflowPunct w:val="0"/>
        <w:topLinePunct/>
        <w:adjustRightInd w:val="0"/>
        <w:snapToGrid w:val="0"/>
        <w:spacing w:line="560" w:lineRule="exact"/>
        <w:ind w:firstLine="640" w:firstLineChars="200"/>
        <w:rPr>
          <w:rFonts w:eastAsia="仿宋_GB2312"/>
          <w:color w:val="auto"/>
          <w:kern w:val="32"/>
          <w:sz w:val="32"/>
          <w:szCs w:val="32"/>
        </w:rPr>
      </w:pPr>
      <w:r>
        <w:rPr>
          <w:rFonts w:eastAsia="仿宋_GB2312"/>
          <w:color w:val="auto"/>
          <w:kern w:val="32"/>
          <w:sz w:val="32"/>
          <w:szCs w:val="32"/>
        </w:rPr>
        <w:t>近年来，我国可再生能源发展迅速，应用规模不断扩大，成本持续降低，清洁替代作用日益显著。“十四五”时期，可再生能源步入平价上网时代，随着“碳达峰、碳中和”深入实施，可再生能源发展面临新的机遇与挑战。</w:t>
      </w:r>
    </w:p>
    <w:p>
      <w:pPr>
        <w:pStyle w:val="4"/>
        <w:spacing w:line="560" w:lineRule="exact"/>
        <w:ind w:firstLine="640"/>
        <w:rPr>
          <w:b/>
          <w:bCs/>
          <w:color w:val="auto"/>
          <w:sz w:val="28"/>
          <w:szCs w:val="22"/>
          <w:lang w:eastAsia="zh-CN"/>
        </w:rPr>
      </w:pPr>
      <w:r>
        <w:rPr>
          <w:rFonts w:hint="eastAsia"/>
          <w:color w:val="auto"/>
          <w:lang w:val="en-US" w:eastAsia="zh-CN"/>
        </w:rPr>
        <w:t>1.</w:t>
      </w:r>
      <w:r>
        <w:rPr>
          <w:color w:val="auto"/>
          <w:lang w:eastAsia="zh-CN"/>
        </w:rPr>
        <w:t>平价上网机制为</w:t>
      </w:r>
      <w:r>
        <w:rPr>
          <w:color w:val="auto"/>
        </w:rPr>
        <w:t>可再生能源发展</w:t>
      </w:r>
      <w:r>
        <w:rPr>
          <w:color w:val="auto"/>
          <w:lang w:eastAsia="zh-CN"/>
        </w:rPr>
        <w:t>指明</w:t>
      </w:r>
      <w:r>
        <w:rPr>
          <w:color w:val="auto"/>
        </w:rPr>
        <w:t>新的方向</w:t>
      </w:r>
    </w:p>
    <w:p>
      <w:pPr>
        <w:overflowPunct w:val="0"/>
        <w:topLinePunct/>
        <w:adjustRightInd w:val="0"/>
        <w:snapToGrid w:val="0"/>
        <w:spacing w:line="560" w:lineRule="exact"/>
        <w:ind w:firstLine="640" w:firstLineChars="200"/>
        <w:rPr>
          <w:rFonts w:eastAsia="仿宋_GB2312"/>
          <w:color w:val="auto"/>
          <w:kern w:val="32"/>
          <w:sz w:val="32"/>
          <w:szCs w:val="32"/>
        </w:rPr>
      </w:pPr>
      <w:r>
        <w:rPr>
          <w:rFonts w:eastAsia="仿宋_GB2312"/>
          <w:color w:val="auto"/>
          <w:kern w:val="32"/>
          <w:sz w:val="32"/>
          <w:szCs w:val="32"/>
        </w:rPr>
        <w:t>随着风电、光伏发电规模化发展和技术快速进步，可再生能源已具备与燃煤标杆上网电价平价的条件。“十四五”时期，我国可再生能源发展将进入全面平价上网时代，传统能源在环保、技术、价格等多方面优势下降，伴随政策完善、技术更迭，可再生能源市场接纳程度越来越高，替代传统</w:t>
      </w:r>
      <w:r>
        <w:rPr>
          <w:rFonts w:hint="eastAsia" w:eastAsia="仿宋_GB2312"/>
          <w:color w:val="auto"/>
          <w:kern w:val="32"/>
          <w:sz w:val="32"/>
          <w:szCs w:val="32"/>
          <w:lang w:eastAsia="zh-CN"/>
        </w:rPr>
        <w:t>化石</w:t>
      </w:r>
      <w:r>
        <w:rPr>
          <w:rFonts w:eastAsia="仿宋_GB2312"/>
          <w:color w:val="auto"/>
          <w:kern w:val="32"/>
          <w:sz w:val="32"/>
          <w:szCs w:val="32"/>
        </w:rPr>
        <w:t>能源已成为不可逆转的趋势。</w:t>
      </w:r>
    </w:p>
    <w:p>
      <w:pPr>
        <w:pStyle w:val="4"/>
        <w:spacing w:line="560" w:lineRule="exact"/>
        <w:ind w:firstLine="640"/>
        <w:rPr>
          <w:color w:val="auto"/>
        </w:rPr>
      </w:pPr>
      <w:r>
        <w:rPr>
          <w:rFonts w:hint="eastAsia"/>
          <w:color w:val="auto"/>
          <w:lang w:val="en-US" w:eastAsia="zh-CN"/>
        </w:rPr>
        <w:t>2.</w:t>
      </w:r>
      <w:r>
        <w:rPr>
          <w:color w:val="auto"/>
        </w:rPr>
        <w:t>清洁低碳转型为可再生能源发展带来新的机遇</w:t>
      </w:r>
    </w:p>
    <w:p>
      <w:pPr>
        <w:overflowPunct w:val="0"/>
        <w:topLinePunct/>
        <w:adjustRightInd w:val="0"/>
        <w:snapToGrid w:val="0"/>
        <w:spacing w:line="560" w:lineRule="exact"/>
        <w:ind w:firstLine="640" w:firstLineChars="200"/>
        <w:rPr>
          <w:rFonts w:eastAsia="仿宋_GB2312"/>
          <w:color w:val="auto"/>
          <w:kern w:val="32"/>
          <w:sz w:val="32"/>
          <w:szCs w:val="32"/>
        </w:rPr>
      </w:pPr>
      <w:r>
        <w:rPr>
          <w:rFonts w:eastAsia="仿宋_GB2312"/>
          <w:color w:val="auto"/>
          <w:kern w:val="32"/>
          <w:sz w:val="32"/>
          <w:szCs w:val="32"/>
        </w:rPr>
        <w:t>党的十九大报告提出把发展清洁能源作为推动生态文明建设的重要内容，强调推进能源生产和消费革命，构建清洁低碳、安全高效的现代能源体系。2020年9月，习近平总书记进一步提出了“碳达峰、碳中和”目标和愿景，这是我国在《巴黎协定》承诺的基础上，对碳排放达峰时间和长期碳中和问题设立的更高目标。我国能源清洁低碳转型发展的总基调已经确立，未来可再生能源发展将迎来新的历史机遇。</w:t>
      </w:r>
    </w:p>
    <w:p>
      <w:pPr>
        <w:pStyle w:val="4"/>
        <w:spacing w:line="560" w:lineRule="exact"/>
        <w:ind w:firstLine="640"/>
        <w:rPr>
          <w:color w:val="auto"/>
          <w:szCs w:val="22"/>
        </w:rPr>
      </w:pPr>
      <w:r>
        <w:rPr>
          <w:rFonts w:hint="eastAsia"/>
          <w:color w:val="auto"/>
          <w:lang w:val="en-US" w:eastAsia="zh-CN"/>
        </w:rPr>
        <w:t>3.</w:t>
      </w:r>
      <w:r>
        <w:rPr>
          <w:color w:val="auto"/>
          <w:lang w:eastAsia="zh-CN"/>
        </w:rPr>
        <w:t>消</w:t>
      </w:r>
      <w:r>
        <w:rPr>
          <w:color w:val="auto"/>
          <w:szCs w:val="22"/>
        </w:rPr>
        <w:t>纳责任</w:t>
      </w:r>
      <w:r>
        <w:rPr>
          <w:color w:val="auto"/>
          <w:szCs w:val="22"/>
          <w:lang w:eastAsia="zh-CN"/>
        </w:rPr>
        <w:t>权重为</w:t>
      </w:r>
      <w:r>
        <w:rPr>
          <w:color w:val="auto"/>
          <w:szCs w:val="22"/>
        </w:rPr>
        <w:t>可再生能源发展</w:t>
      </w:r>
      <w:r>
        <w:rPr>
          <w:color w:val="auto"/>
          <w:szCs w:val="22"/>
          <w:lang w:eastAsia="zh-CN"/>
        </w:rPr>
        <w:t>提供新的保障</w:t>
      </w:r>
    </w:p>
    <w:p>
      <w:pPr>
        <w:overflowPunct w:val="0"/>
        <w:topLinePunct/>
        <w:adjustRightInd w:val="0"/>
        <w:snapToGrid w:val="0"/>
        <w:spacing w:line="560" w:lineRule="exact"/>
        <w:ind w:firstLine="640" w:firstLineChars="200"/>
        <w:rPr>
          <w:rFonts w:eastAsia="仿宋_GB2312"/>
          <w:color w:val="auto"/>
          <w:kern w:val="32"/>
          <w:sz w:val="32"/>
          <w:szCs w:val="32"/>
        </w:rPr>
      </w:pPr>
      <w:r>
        <w:rPr>
          <w:rFonts w:eastAsia="仿宋_GB2312"/>
          <w:color w:val="auto"/>
          <w:kern w:val="32"/>
          <w:sz w:val="32"/>
          <w:szCs w:val="32"/>
        </w:rPr>
        <w:t>我国自2020年开始实施可再生能源电力消纳保障机制，按年度对省级行政区域下达可再生能源电力消纳责任权重，各省级行政区域、电网企业、各类市场主体协同承担可再生能源电力消纳责任，为推动形成可再生能源电力消费引领的长效发展机制提供了政策性保障。</w:t>
      </w:r>
    </w:p>
    <w:p>
      <w:pPr>
        <w:spacing w:line="560" w:lineRule="exact"/>
        <w:ind w:firstLine="640" w:firstLineChars="200"/>
        <w:rPr>
          <w:rFonts w:ascii="Times New Roman" w:hAnsi="Times New Roman" w:eastAsia="楷体_GB2312" w:cs="Times New Roman"/>
          <w:color w:val="auto"/>
          <w:sz w:val="32"/>
          <w:szCs w:val="32"/>
          <w:lang w:eastAsia="zh-CN"/>
        </w:rPr>
      </w:pPr>
      <w:bookmarkStart w:id="22" w:name="_Toc16001"/>
      <w:r>
        <w:rPr>
          <w:rFonts w:ascii="Times New Roman" w:hAnsi="Times New Roman" w:eastAsia="楷体_GB2312" w:cs="Times New Roman"/>
          <w:color w:val="auto"/>
          <w:sz w:val="32"/>
          <w:szCs w:val="32"/>
          <w:lang w:eastAsia="zh-CN"/>
        </w:rPr>
        <w:t>（二）存在问题</w:t>
      </w:r>
      <w:bookmarkEnd w:id="22"/>
    </w:p>
    <w:p>
      <w:pPr>
        <w:overflowPunct w:val="0"/>
        <w:topLinePunct/>
        <w:adjustRightInd w:val="0"/>
        <w:snapToGrid w:val="0"/>
        <w:spacing w:line="560" w:lineRule="exact"/>
        <w:ind w:firstLine="640" w:firstLineChars="200"/>
        <w:rPr>
          <w:rFonts w:eastAsia="仿宋_GB2312"/>
          <w:color w:val="auto"/>
          <w:kern w:val="32"/>
          <w:sz w:val="32"/>
          <w:szCs w:val="32"/>
        </w:rPr>
      </w:pPr>
      <w:r>
        <w:rPr>
          <w:rFonts w:hint="eastAsia" w:eastAsia="仿宋_GB2312"/>
          <w:color w:val="auto"/>
          <w:kern w:val="32"/>
          <w:sz w:val="32"/>
          <w:szCs w:val="32"/>
          <w:lang w:val="en-US" w:eastAsia="zh-CN"/>
        </w:rPr>
        <w:t>1.</w:t>
      </w:r>
      <w:r>
        <w:rPr>
          <w:rFonts w:eastAsia="仿宋_GB2312"/>
          <w:color w:val="auto"/>
          <w:kern w:val="32"/>
          <w:sz w:val="32"/>
          <w:szCs w:val="32"/>
        </w:rPr>
        <w:t>自然资源禀赋不足。天津基本不具备大型水电发展条件；风能资源分布不均衡，适合开发区域主要分布在滨海新区沿海地带，内陆风资源开发经济性不高。</w:t>
      </w:r>
    </w:p>
    <w:p>
      <w:pPr>
        <w:overflowPunct w:val="0"/>
        <w:topLinePunct/>
        <w:adjustRightInd w:val="0"/>
        <w:snapToGrid w:val="0"/>
        <w:spacing w:line="560" w:lineRule="exact"/>
        <w:ind w:firstLine="640" w:firstLineChars="200"/>
        <w:rPr>
          <w:rFonts w:eastAsia="仿宋_GB2312"/>
          <w:color w:val="auto"/>
          <w:kern w:val="32"/>
          <w:sz w:val="32"/>
          <w:szCs w:val="32"/>
        </w:rPr>
      </w:pPr>
      <w:r>
        <w:rPr>
          <w:rFonts w:hint="eastAsia" w:eastAsia="仿宋_GB2312"/>
          <w:color w:val="auto"/>
          <w:kern w:val="32"/>
          <w:sz w:val="32"/>
          <w:szCs w:val="32"/>
          <w:lang w:val="en-US" w:eastAsia="zh-CN"/>
        </w:rPr>
        <w:t>2.</w:t>
      </w:r>
      <w:r>
        <w:rPr>
          <w:rFonts w:eastAsia="仿宋_GB2312"/>
          <w:color w:val="auto"/>
          <w:kern w:val="32"/>
          <w:sz w:val="32"/>
          <w:szCs w:val="32"/>
        </w:rPr>
        <w:t>土地资源紧张。天津区域面积有限，相对于周边资源大省，不具备大规模集中式可再生能源用地条件，可再生能源总体开发利用量较小。</w:t>
      </w:r>
    </w:p>
    <w:p>
      <w:pPr>
        <w:overflowPunct w:val="0"/>
        <w:topLinePunct/>
        <w:adjustRightInd w:val="0"/>
        <w:snapToGrid w:val="0"/>
        <w:spacing w:line="560" w:lineRule="exact"/>
        <w:ind w:firstLine="640" w:firstLineChars="200"/>
        <w:rPr>
          <w:rFonts w:eastAsia="仿宋_GB2312"/>
          <w:color w:val="auto"/>
          <w:kern w:val="32"/>
          <w:sz w:val="32"/>
          <w:szCs w:val="32"/>
        </w:rPr>
      </w:pPr>
      <w:r>
        <w:rPr>
          <w:rFonts w:hint="eastAsia" w:eastAsia="仿宋_GB2312"/>
          <w:color w:val="auto"/>
          <w:kern w:val="32"/>
          <w:sz w:val="32"/>
          <w:szCs w:val="32"/>
          <w:lang w:val="en-US" w:eastAsia="zh-CN"/>
        </w:rPr>
        <w:t>3.</w:t>
      </w:r>
      <w:r>
        <w:rPr>
          <w:rFonts w:eastAsia="仿宋_GB2312"/>
          <w:color w:val="auto"/>
          <w:kern w:val="32"/>
          <w:sz w:val="32"/>
          <w:szCs w:val="32"/>
        </w:rPr>
        <w:t>资源匹配度低。可利用的土地资源与电网资源、自然资源匹配度较低。</w:t>
      </w:r>
      <w:r>
        <w:rPr>
          <w:rFonts w:hint="eastAsia" w:ascii="Times New Roman" w:hAnsi="Times New Roman" w:eastAsia="仿宋_GB2312" w:cs="Times New Roman"/>
          <w:b w:val="0"/>
          <w:bCs w:val="0"/>
          <w:color w:val="auto"/>
          <w:sz w:val="32"/>
          <w:szCs w:val="32"/>
          <w:lang w:val="en-US" w:eastAsia="zh-CN"/>
        </w:rPr>
        <w:t>市内六区和环城四区</w:t>
      </w:r>
      <w:r>
        <w:rPr>
          <w:rFonts w:eastAsia="仿宋_GB2312"/>
          <w:color w:val="auto"/>
          <w:kern w:val="32"/>
          <w:sz w:val="32"/>
          <w:szCs w:val="32"/>
        </w:rPr>
        <w:t>负荷较大、消纳条件较好但开发空间有限，</w:t>
      </w:r>
      <w:r>
        <w:rPr>
          <w:rFonts w:hint="eastAsia" w:ascii="Times New Roman" w:hAnsi="Times New Roman" w:eastAsia="仿宋_GB2312" w:cs="Times New Roman"/>
          <w:b w:val="0"/>
          <w:bCs w:val="0"/>
          <w:color w:val="auto"/>
          <w:sz w:val="32"/>
          <w:szCs w:val="32"/>
          <w:lang w:val="en-US" w:eastAsia="zh-CN"/>
        </w:rPr>
        <w:t>远郊五区和滨海新区</w:t>
      </w:r>
      <w:r>
        <w:rPr>
          <w:rFonts w:eastAsia="仿宋_GB2312"/>
          <w:color w:val="auto"/>
          <w:kern w:val="32"/>
          <w:sz w:val="32"/>
          <w:szCs w:val="32"/>
        </w:rPr>
        <w:t>土地资源相对宽裕但负荷支撑不足、消纳条件较差，实际可开发量与技术可开发量存在差距。</w:t>
      </w:r>
    </w:p>
    <w:p>
      <w:pPr>
        <w:pStyle w:val="2"/>
        <w:spacing w:before="0" w:beforeLines="0" w:line="560" w:lineRule="exact"/>
        <w:ind w:firstLine="640"/>
        <w:rPr>
          <w:color w:val="auto"/>
        </w:rPr>
      </w:pPr>
      <w:bookmarkStart w:id="23" w:name="_Toc29384"/>
      <w:bookmarkStart w:id="24" w:name="_Toc26618"/>
      <w:bookmarkStart w:id="25" w:name="_Toc20490"/>
      <w:r>
        <w:rPr>
          <w:color w:val="auto"/>
          <w:lang w:eastAsia="zh-CN"/>
        </w:rPr>
        <w:t>三、发展思路</w:t>
      </w:r>
      <w:bookmarkEnd w:id="23"/>
      <w:bookmarkEnd w:id="24"/>
      <w:r>
        <w:rPr>
          <w:color w:val="auto"/>
          <w:lang w:eastAsia="zh-CN"/>
        </w:rPr>
        <w:t>和目标</w:t>
      </w:r>
      <w:bookmarkEnd w:id="25"/>
    </w:p>
    <w:p>
      <w:pPr>
        <w:spacing w:line="560" w:lineRule="exact"/>
        <w:ind w:firstLine="640" w:firstLineChars="200"/>
        <w:rPr>
          <w:rFonts w:ascii="Times New Roman" w:hAnsi="Times New Roman" w:eastAsia="楷体_GB2312" w:cs="Times New Roman"/>
          <w:color w:val="auto"/>
          <w:sz w:val="32"/>
          <w:szCs w:val="32"/>
        </w:rPr>
      </w:pPr>
      <w:bookmarkStart w:id="26" w:name="_Toc7342"/>
      <w:bookmarkStart w:id="27" w:name="_Toc3070"/>
      <w:bookmarkStart w:id="28" w:name="_Toc21460"/>
      <w:r>
        <w:rPr>
          <w:rFonts w:ascii="Times New Roman" w:hAnsi="Times New Roman" w:eastAsia="楷体_GB2312" w:cs="Times New Roman"/>
          <w:color w:val="auto"/>
          <w:sz w:val="32"/>
          <w:szCs w:val="32"/>
          <w:lang w:eastAsia="zh-CN"/>
        </w:rPr>
        <w:t>（一）</w:t>
      </w:r>
      <w:r>
        <w:rPr>
          <w:rFonts w:ascii="Times New Roman" w:hAnsi="Times New Roman" w:eastAsia="楷体_GB2312" w:cs="Times New Roman"/>
          <w:color w:val="auto"/>
          <w:sz w:val="32"/>
          <w:szCs w:val="32"/>
        </w:rPr>
        <w:t>指导思想</w:t>
      </w:r>
      <w:bookmarkEnd w:id="26"/>
      <w:bookmarkEnd w:id="27"/>
      <w:bookmarkEnd w:id="28"/>
    </w:p>
    <w:p>
      <w:pPr>
        <w:overflowPunct w:val="0"/>
        <w:topLinePunct/>
        <w:adjustRightInd w:val="0"/>
        <w:snapToGrid w:val="0"/>
        <w:spacing w:line="560" w:lineRule="exact"/>
        <w:ind w:firstLine="640" w:firstLineChars="200"/>
        <w:rPr>
          <w:rFonts w:eastAsia="仿宋_GB2312"/>
          <w:color w:val="auto"/>
          <w:kern w:val="32"/>
          <w:sz w:val="32"/>
          <w:szCs w:val="32"/>
        </w:rPr>
      </w:pPr>
      <w:r>
        <w:rPr>
          <w:rFonts w:eastAsia="仿宋_GB2312"/>
          <w:color w:val="auto"/>
          <w:kern w:val="32"/>
          <w:sz w:val="32"/>
          <w:szCs w:val="32"/>
        </w:rPr>
        <w:t>以习近平新时代中国特色社会主义思想为指导，全面贯彻落实党的十九大和十九届二中、三中、四中、五中、六中全会精神</w:t>
      </w:r>
      <w:r>
        <w:rPr>
          <w:rFonts w:hint="eastAsia" w:eastAsia="仿宋_GB2312"/>
          <w:color w:val="auto"/>
          <w:kern w:val="32"/>
          <w:sz w:val="32"/>
          <w:szCs w:val="32"/>
          <w:lang w:eastAsia="zh-CN"/>
        </w:rPr>
        <w:t>，</w:t>
      </w:r>
      <w:r>
        <w:rPr>
          <w:rFonts w:hint="eastAsia" w:eastAsia="仿宋_GB2312"/>
          <w:color w:val="auto"/>
          <w:kern w:val="32"/>
          <w:sz w:val="32"/>
          <w:szCs w:val="32"/>
        </w:rPr>
        <w:t>完整</w:t>
      </w:r>
      <w:r>
        <w:rPr>
          <w:rFonts w:hint="eastAsia" w:eastAsia="仿宋_GB2312"/>
          <w:color w:val="auto"/>
          <w:kern w:val="32"/>
          <w:sz w:val="32"/>
          <w:szCs w:val="32"/>
          <w:lang w:eastAsia="zh-CN"/>
        </w:rPr>
        <w:t>、</w:t>
      </w:r>
      <w:r>
        <w:rPr>
          <w:rFonts w:hint="eastAsia" w:eastAsia="仿宋_GB2312"/>
          <w:color w:val="auto"/>
          <w:kern w:val="32"/>
          <w:sz w:val="32"/>
          <w:szCs w:val="32"/>
        </w:rPr>
        <w:t>准确</w:t>
      </w:r>
      <w:r>
        <w:rPr>
          <w:rFonts w:hint="eastAsia" w:eastAsia="仿宋_GB2312"/>
          <w:color w:val="auto"/>
          <w:kern w:val="32"/>
          <w:sz w:val="32"/>
          <w:szCs w:val="32"/>
          <w:lang w:eastAsia="zh-CN"/>
        </w:rPr>
        <w:t>、</w:t>
      </w:r>
      <w:r>
        <w:rPr>
          <w:rFonts w:hint="eastAsia" w:eastAsia="仿宋_GB2312"/>
          <w:color w:val="auto"/>
          <w:kern w:val="32"/>
          <w:sz w:val="32"/>
          <w:szCs w:val="32"/>
        </w:rPr>
        <w:t>全面</w:t>
      </w:r>
      <w:r>
        <w:rPr>
          <w:rFonts w:eastAsia="仿宋_GB2312"/>
          <w:color w:val="auto"/>
          <w:kern w:val="32"/>
          <w:sz w:val="32"/>
          <w:szCs w:val="32"/>
        </w:rPr>
        <w:t>贯彻新发展理念，践行“四个革命、一个合作”能源安全新战略，顺应能源转型发展大势，把加快可再生能源开发利用作为能源发展的主攻方向。结合我市资源禀赋、发展需要和地方特色，以技术进步和发展方式创新为依托，以体制机制完善和产业体系建设为支撑，积极推动可再生能源全方位、多元化、规模化发展，加快扩大可再生能源开发利用规模，提高可再生能源消费比重，助力构建清洁低碳、安全高效的现代能源体系。</w:t>
      </w:r>
    </w:p>
    <w:p>
      <w:pPr>
        <w:numPr>
          <w:ilvl w:val="0"/>
          <w:numId w:val="1"/>
        </w:numPr>
        <w:spacing w:line="560" w:lineRule="exact"/>
        <w:ind w:firstLine="640" w:firstLineChars="200"/>
        <w:rPr>
          <w:rFonts w:ascii="Times New Roman" w:hAnsi="Times New Roman" w:eastAsia="楷体_GB2312" w:cs="Times New Roman"/>
          <w:color w:val="auto"/>
          <w:sz w:val="32"/>
          <w:szCs w:val="32"/>
        </w:rPr>
      </w:pPr>
      <w:bookmarkStart w:id="29" w:name="_Toc22149"/>
      <w:bookmarkStart w:id="30" w:name="_Toc7029"/>
      <w:bookmarkStart w:id="31" w:name="_Toc11580"/>
      <w:r>
        <w:rPr>
          <w:rFonts w:ascii="Times New Roman" w:hAnsi="Times New Roman" w:eastAsia="楷体_GB2312" w:cs="Times New Roman"/>
          <w:color w:val="auto"/>
          <w:sz w:val="32"/>
          <w:szCs w:val="32"/>
        </w:rPr>
        <w:t>基本原则</w:t>
      </w:r>
      <w:bookmarkEnd w:id="29"/>
      <w:bookmarkEnd w:id="30"/>
      <w:bookmarkEnd w:id="31"/>
    </w:p>
    <w:p>
      <w:pPr>
        <w:numPr>
          <w:ilvl w:val="0"/>
          <w:numId w:val="0"/>
        </w:numPr>
        <w:spacing w:line="560" w:lineRule="exact"/>
        <w:rPr>
          <w:rFonts w:eastAsia="仿宋_GB2312"/>
          <w:color w:val="auto"/>
          <w:kern w:val="32"/>
          <w:sz w:val="32"/>
          <w:szCs w:val="32"/>
        </w:rPr>
      </w:pPr>
      <w:r>
        <w:rPr>
          <w:rFonts w:hint="eastAsia" w:ascii="Times New Roman" w:hAnsi="Times New Roman" w:eastAsia="仿宋_GB2312" w:cs="Times New Roman"/>
          <w:color w:val="auto"/>
          <w:kern w:val="32"/>
          <w:sz w:val="32"/>
          <w:szCs w:val="32"/>
          <w:lang w:val="en-US" w:eastAsia="zh-CN"/>
        </w:rPr>
        <w:t xml:space="preserve">    </w:t>
      </w:r>
      <w:r>
        <w:rPr>
          <w:rFonts w:ascii="Times New Roman" w:hAnsi="Times New Roman" w:eastAsia="仿宋_GB2312" w:cs="Times New Roman"/>
          <w:color w:val="auto"/>
          <w:kern w:val="32"/>
          <w:sz w:val="32"/>
          <w:szCs w:val="32"/>
        </w:rPr>
        <w:t>统筹规划、协调发展</w:t>
      </w:r>
      <w:r>
        <w:rPr>
          <w:rFonts w:hint="eastAsia" w:ascii="Times New Roman" w:hAnsi="Times New Roman" w:eastAsia="仿宋_GB2312" w:cs="Times New Roman"/>
          <w:color w:val="auto"/>
          <w:kern w:val="32"/>
          <w:sz w:val="32"/>
          <w:szCs w:val="32"/>
          <w:lang w:eastAsia="zh-CN"/>
        </w:rPr>
        <w:t>。</w:t>
      </w:r>
      <w:r>
        <w:rPr>
          <w:rFonts w:ascii="Times New Roman" w:hAnsi="Times New Roman" w:eastAsia="仿宋_GB2312" w:cs="Times New Roman"/>
          <w:color w:val="auto"/>
          <w:kern w:val="32"/>
          <w:sz w:val="32"/>
          <w:szCs w:val="32"/>
        </w:rPr>
        <w:t>根</w:t>
      </w:r>
      <w:r>
        <w:rPr>
          <w:rFonts w:eastAsia="仿宋_GB2312"/>
          <w:color w:val="auto"/>
          <w:kern w:val="32"/>
          <w:sz w:val="32"/>
          <w:szCs w:val="32"/>
        </w:rPr>
        <w:t>据资源条件和经济社会发展需要，结合规划、国土、环保、林业等方面政策要求，统筹可再生能源规划布局，科学确定开发规模和建设时序，确保可再生能源开发利用与资源承载能力相适应，与经济社会发展相协调。</w:t>
      </w:r>
    </w:p>
    <w:p>
      <w:pPr>
        <w:pStyle w:val="4"/>
        <w:spacing w:line="560" w:lineRule="exact"/>
        <w:ind w:firstLine="640"/>
        <w:rPr>
          <w:rFonts w:hint="eastAsia" w:eastAsia="仿宋_GB2312"/>
          <w:color w:val="auto"/>
          <w:kern w:val="32"/>
          <w:sz w:val="32"/>
          <w:szCs w:val="32"/>
          <w:lang w:eastAsia="zh-CN"/>
        </w:rPr>
      </w:pPr>
      <w:r>
        <w:rPr>
          <w:color w:val="auto"/>
          <w:kern w:val="32"/>
          <w:szCs w:val="32"/>
          <w:lang w:eastAsia="zh-CN"/>
        </w:rPr>
        <w:t>市场主导</w:t>
      </w:r>
      <w:r>
        <w:rPr>
          <w:color w:val="auto"/>
          <w:kern w:val="32"/>
          <w:szCs w:val="32"/>
        </w:rPr>
        <w:t>、</w:t>
      </w:r>
      <w:r>
        <w:rPr>
          <w:color w:val="auto"/>
          <w:kern w:val="32"/>
          <w:szCs w:val="32"/>
          <w:lang w:eastAsia="zh-CN"/>
        </w:rPr>
        <w:t>政策推动</w:t>
      </w:r>
      <w:r>
        <w:rPr>
          <w:rFonts w:hint="eastAsia"/>
          <w:color w:val="auto"/>
          <w:kern w:val="32"/>
          <w:szCs w:val="32"/>
          <w:lang w:eastAsia="zh-CN"/>
        </w:rPr>
        <w:t>。</w:t>
      </w:r>
      <w:r>
        <w:rPr>
          <w:rFonts w:eastAsia="仿宋_GB2312"/>
          <w:color w:val="auto"/>
          <w:kern w:val="32"/>
          <w:sz w:val="32"/>
          <w:szCs w:val="32"/>
        </w:rPr>
        <w:t>发挥市场在资源配置中的决定性作用，</w:t>
      </w:r>
      <w:r>
        <w:rPr>
          <w:rFonts w:hint="eastAsia" w:eastAsia="仿宋_GB2312"/>
          <w:color w:val="auto"/>
          <w:kern w:val="32"/>
          <w:sz w:val="32"/>
          <w:szCs w:val="32"/>
          <w:lang w:eastAsia="zh-CN"/>
        </w:rPr>
        <w:t>充分调动</w:t>
      </w:r>
      <w:r>
        <w:rPr>
          <w:rFonts w:eastAsia="仿宋_GB2312"/>
          <w:color w:val="auto"/>
          <w:kern w:val="32"/>
          <w:sz w:val="32"/>
          <w:szCs w:val="32"/>
        </w:rPr>
        <w:t>各类市场主体</w:t>
      </w:r>
      <w:r>
        <w:rPr>
          <w:rFonts w:hint="eastAsia" w:eastAsia="仿宋_GB2312"/>
          <w:color w:val="auto"/>
          <w:kern w:val="32"/>
          <w:sz w:val="32"/>
          <w:szCs w:val="32"/>
          <w:lang w:eastAsia="zh-CN"/>
        </w:rPr>
        <w:t>的积极性，公平竞争、优化配置、强化监管，</w:t>
      </w:r>
      <w:r>
        <w:rPr>
          <w:rFonts w:hint="eastAsia" w:ascii="Times New Roman" w:hAnsi="Times New Roman" w:eastAsia="仿宋_GB2312" w:cs="Times New Roman"/>
          <w:b w:val="0"/>
          <w:bCs w:val="0"/>
          <w:color w:val="auto"/>
          <w:sz w:val="32"/>
          <w:szCs w:val="32"/>
          <w:lang w:val="en-US" w:eastAsia="zh-CN"/>
        </w:rPr>
        <w:t>促进可再生能源规模化、低成本、高质量发展</w:t>
      </w:r>
      <w:r>
        <w:rPr>
          <w:rFonts w:eastAsia="仿宋_GB2312"/>
          <w:b w:val="0"/>
          <w:bCs w:val="0"/>
          <w:color w:val="auto"/>
          <w:kern w:val="32"/>
          <w:sz w:val="32"/>
          <w:szCs w:val="32"/>
        </w:rPr>
        <w:t>；</w:t>
      </w:r>
      <w:r>
        <w:rPr>
          <w:rFonts w:eastAsia="仿宋_GB2312"/>
          <w:color w:val="auto"/>
          <w:kern w:val="32"/>
          <w:sz w:val="32"/>
          <w:szCs w:val="32"/>
        </w:rPr>
        <w:t>结合本地实际，不断完善可再生能源政策体系，</w:t>
      </w:r>
      <w:r>
        <w:rPr>
          <w:rFonts w:hint="eastAsia" w:eastAsia="仿宋_GB2312"/>
          <w:color w:val="auto"/>
          <w:kern w:val="32"/>
          <w:sz w:val="32"/>
          <w:szCs w:val="32"/>
          <w:lang w:eastAsia="zh-CN"/>
        </w:rPr>
        <w:t>打造规范有序、良性健康的发展环境。</w:t>
      </w:r>
    </w:p>
    <w:p>
      <w:pPr>
        <w:pStyle w:val="4"/>
        <w:spacing w:line="560" w:lineRule="exact"/>
        <w:ind w:firstLine="640"/>
        <w:rPr>
          <w:rFonts w:eastAsia="仿宋_GB2312"/>
          <w:color w:val="auto"/>
          <w:kern w:val="32"/>
          <w:sz w:val="32"/>
          <w:szCs w:val="32"/>
        </w:rPr>
      </w:pPr>
      <w:r>
        <w:rPr>
          <w:color w:val="auto"/>
          <w:kern w:val="32"/>
          <w:szCs w:val="32"/>
        </w:rPr>
        <w:t>因地制宜、多元</w:t>
      </w:r>
      <w:r>
        <w:rPr>
          <w:color w:val="auto"/>
          <w:kern w:val="32"/>
          <w:szCs w:val="32"/>
          <w:lang w:eastAsia="zh-CN"/>
        </w:rPr>
        <w:t>开发</w:t>
      </w:r>
      <w:r>
        <w:rPr>
          <w:rFonts w:hint="eastAsia"/>
          <w:color w:val="auto"/>
          <w:kern w:val="32"/>
          <w:szCs w:val="32"/>
          <w:lang w:eastAsia="zh-CN"/>
        </w:rPr>
        <w:t>。</w:t>
      </w:r>
      <w:r>
        <w:rPr>
          <w:rFonts w:eastAsia="仿宋_GB2312"/>
          <w:color w:val="auto"/>
          <w:kern w:val="32"/>
          <w:sz w:val="32"/>
          <w:szCs w:val="32"/>
        </w:rPr>
        <w:t>结合区域资源禀赋，科学确定可再生能源开发类型和模式，宜风则风、宜光则光。坚持分布式和集中式并重，支持多种形式可再生能源综合利用，推动形成多元</w:t>
      </w:r>
      <w:r>
        <w:rPr>
          <w:rFonts w:hint="eastAsia" w:eastAsia="仿宋_GB2312"/>
          <w:color w:val="auto"/>
          <w:kern w:val="32"/>
          <w:sz w:val="32"/>
          <w:szCs w:val="32"/>
          <w:lang w:eastAsia="zh-CN"/>
        </w:rPr>
        <w:t>互补</w:t>
      </w:r>
      <w:r>
        <w:rPr>
          <w:rFonts w:eastAsia="仿宋_GB2312"/>
          <w:color w:val="auto"/>
          <w:kern w:val="32"/>
          <w:sz w:val="32"/>
          <w:szCs w:val="32"/>
        </w:rPr>
        <w:t>、</w:t>
      </w:r>
      <w:r>
        <w:rPr>
          <w:rFonts w:hint="eastAsia" w:eastAsia="仿宋_GB2312"/>
          <w:color w:val="auto"/>
          <w:kern w:val="32"/>
          <w:sz w:val="32"/>
          <w:szCs w:val="32"/>
          <w:lang w:eastAsia="zh-CN"/>
        </w:rPr>
        <w:t>平衡发展</w:t>
      </w:r>
      <w:r>
        <w:rPr>
          <w:rFonts w:eastAsia="仿宋_GB2312"/>
          <w:color w:val="auto"/>
          <w:kern w:val="32"/>
          <w:sz w:val="32"/>
          <w:szCs w:val="32"/>
        </w:rPr>
        <w:t>的可再生能源</w:t>
      </w:r>
      <w:r>
        <w:rPr>
          <w:rFonts w:hint="eastAsia" w:eastAsia="仿宋_GB2312"/>
          <w:color w:val="auto"/>
          <w:kern w:val="32"/>
          <w:sz w:val="32"/>
          <w:szCs w:val="32"/>
          <w:lang w:eastAsia="zh-CN"/>
        </w:rPr>
        <w:t>开发利用</w:t>
      </w:r>
      <w:r>
        <w:rPr>
          <w:rFonts w:eastAsia="仿宋_GB2312"/>
          <w:color w:val="auto"/>
          <w:kern w:val="32"/>
          <w:sz w:val="32"/>
          <w:szCs w:val="32"/>
        </w:rPr>
        <w:t>格局。</w:t>
      </w:r>
    </w:p>
    <w:p>
      <w:pPr>
        <w:pStyle w:val="4"/>
        <w:spacing w:line="560" w:lineRule="exact"/>
        <w:ind w:firstLine="640"/>
        <w:rPr>
          <w:rFonts w:eastAsia="仿宋_GB2312"/>
          <w:color w:val="auto"/>
          <w:kern w:val="32"/>
          <w:sz w:val="32"/>
          <w:szCs w:val="32"/>
        </w:rPr>
      </w:pPr>
      <w:r>
        <w:rPr>
          <w:color w:val="auto"/>
          <w:kern w:val="32"/>
          <w:szCs w:val="32"/>
          <w:lang w:eastAsia="zh-CN"/>
        </w:rPr>
        <w:t>创新驱动、技术引领</w:t>
      </w:r>
      <w:r>
        <w:rPr>
          <w:rFonts w:hint="eastAsia"/>
          <w:color w:val="auto"/>
          <w:kern w:val="32"/>
          <w:szCs w:val="32"/>
          <w:lang w:eastAsia="zh-CN"/>
        </w:rPr>
        <w:t>。</w:t>
      </w:r>
      <w:r>
        <w:rPr>
          <w:rFonts w:eastAsia="仿宋_GB2312"/>
          <w:color w:val="auto"/>
          <w:kern w:val="32"/>
          <w:sz w:val="32"/>
          <w:szCs w:val="32"/>
        </w:rPr>
        <w:t>把创新作为可再生能源发展的第一动力，加</w:t>
      </w:r>
      <w:r>
        <w:rPr>
          <w:rFonts w:hint="eastAsia" w:eastAsia="仿宋_GB2312"/>
          <w:color w:val="auto"/>
          <w:kern w:val="32"/>
          <w:sz w:val="32"/>
          <w:szCs w:val="32"/>
          <w:lang w:eastAsia="zh-CN"/>
        </w:rPr>
        <w:t>强</w:t>
      </w:r>
      <w:r>
        <w:rPr>
          <w:rFonts w:eastAsia="仿宋_GB2312"/>
          <w:color w:val="auto"/>
          <w:kern w:val="32"/>
          <w:sz w:val="32"/>
          <w:szCs w:val="32"/>
        </w:rPr>
        <w:t>关键技术研发和先进装备制造，鼓励新技术、新设备、新材料在可再生能源领域的转化应用，以技术进步促产业升级，提升产业整体竞争力。</w:t>
      </w:r>
    </w:p>
    <w:p>
      <w:pPr>
        <w:spacing w:line="560" w:lineRule="exact"/>
        <w:ind w:firstLine="640" w:firstLineChars="200"/>
        <w:rPr>
          <w:rFonts w:ascii="Times New Roman" w:hAnsi="Times New Roman" w:eastAsia="楷体_GB2312" w:cs="Times New Roman"/>
          <w:color w:val="auto"/>
          <w:sz w:val="32"/>
          <w:szCs w:val="32"/>
        </w:rPr>
      </w:pPr>
      <w:bookmarkStart w:id="32" w:name="_Toc30651"/>
      <w:bookmarkStart w:id="33" w:name="_Toc26914"/>
      <w:bookmarkStart w:id="34" w:name="_Toc21522"/>
      <w:r>
        <w:rPr>
          <w:rFonts w:ascii="Times New Roman" w:hAnsi="Times New Roman" w:eastAsia="楷体_GB2312" w:cs="Times New Roman"/>
          <w:color w:val="auto"/>
          <w:sz w:val="32"/>
          <w:szCs w:val="32"/>
          <w:lang w:eastAsia="zh-CN"/>
        </w:rPr>
        <w:t>（三）</w:t>
      </w:r>
      <w:r>
        <w:rPr>
          <w:rFonts w:ascii="Times New Roman" w:hAnsi="Times New Roman" w:eastAsia="楷体_GB2312" w:cs="Times New Roman"/>
          <w:color w:val="auto"/>
          <w:sz w:val="32"/>
          <w:szCs w:val="32"/>
        </w:rPr>
        <w:t>发展目标</w:t>
      </w:r>
      <w:bookmarkEnd w:id="32"/>
      <w:bookmarkEnd w:id="33"/>
      <w:bookmarkEnd w:id="34"/>
    </w:p>
    <w:p>
      <w:pPr>
        <w:overflowPunct w:val="0"/>
        <w:topLinePunct/>
        <w:adjustRightInd w:val="0"/>
        <w:snapToGrid w:val="0"/>
        <w:spacing w:line="560" w:lineRule="exact"/>
        <w:ind w:firstLine="640" w:firstLineChars="200"/>
        <w:rPr>
          <w:rFonts w:eastAsia="仿宋_GB2312"/>
          <w:color w:val="auto"/>
          <w:kern w:val="32"/>
          <w:sz w:val="32"/>
          <w:szCs w:val="32"/>
        </w:rPr>
      </w:pPr>
      <w:r>
        <w:rPr>
          <w:rFonts w:eastAsia="仿宋_GB2312"/>
          <w:color w:val="auto"/>
          <w:kern w:val="32"/>
          <w:sz w:val="32"/>
          <w:szCs w:val="32"/>
        </w:rPr>
        <w:t>到2025年，全市投产可再生能源电力装机超过800万千瓦，占电力总装机的比重达到30%左右，力争开发建设规模达到1000万千瓦；</w:t>
      </w:r>
      <w:r>
        <w:rPr>
          <w:rFonts w:hint="eastAsia" w:eastAsia="仿宋_GB2312"/>
          <w:color w:val="auto"/>
          <w:kern w:val="32"/>
          <w:sz w:val="32"/>
          <w:szCs w:val="32"/>
          <w:lang w:eastAsia="zh-CN"/>
        </w:rPr>
        <w:t>完成</w:t>
      </w:r>
      <w:r>
        <w:rPr>
          <w:rFonts w:eastAsia="仿宋_GB2312"/>
          <w:color w:val="auto"/>
          <w:kern w:val="32"/>
          <w:sz w:val="32"/>
          <w:szCs w:val="32"/>
        </w:rPr>
        <w:t>国家下达的可再生能源电力消纳责任权重指标，可再生能源电力消纳量占全社会用电量的比重达到22%左右；</w:t>
      </w:r>
      <w:r>
        <w:rPr>
          <w:rFonts w:hint="eastAsia" w:eastAsia="仿宋_GB2312"/>
          <w:color w:val="auto"/>
          <w:kern w:val="32"/>
          <w:sz w:val="32"/>
          <w:szCs w:val="32"/>
          <w:lang w:eastAsia="zh-CN"/>
        </w:rPr>
        <w:t>可再生</w:t>
      </w:r>
      <w:r>
        <w:rPr>
          <w:rFonts w:eastAsia="仿宋_GB2312"/>
          <w:color w:val="auto"/>
          <w:kern w:val="32"/>
          <w:sz w:val="32"/>
          <w:szCs w:val="32"/>
        </w:rPr>
        <w:t>能源</w:t>
      </w:r>
      <w:r>
        <w:rPr>
          <w:rFonts w:hint="eastAsia" w:eastAsia="仿宋_GB2312"/>
          <w:color w:val="auto"/>
          <w:kern w:val="32"/>
          <w:sz w:val="32"/>
          <w:szCs w:val="32"/>
          <w:lang w:eastAsia="zh-CN"/>
        </w:rPr>
        <w:t>消费</w:t>
      </w:r>
      <w:r>
        <w:rPr>
          <w:rFonts w:eastAsia="仿宋_GB2312"/>
          <w:color w:val="auto"/>
          <w:kern w:val="32"/>
          <w:sz w:val="32"/>
          <w:szCs w:val="32"/>
        </w:rPr>
        <w:t>量折合标煤</w:t>
      </w:r>
      <w:r>
        <w:rPr>
          <w:rFonts w:hint="eastAsia" w:eastAsia="仿宋_GB2312"/>
          <w:color w:val="auto"/>
          <w:kern w:val="32"/>
          <w:sz w:val="32"/>
          <w:szCs w:val="32"/>
          <w:lang w:eastAsia="zh-CN"/>
        </w:rPr>
        <w:t>超过</w:t>
      </w:r>
      <w:r>
        <w:rPr>
          <w:rFonts w:eastAsia="仿宋_GB2312"/>
          <w:color w:val="auto"/>
          <w:kern w:val="32"/>
          <w:sz w:val="32"/>
          <w:szCs w:val="32"/>
        </w:rPr>
        <w:t>1000万吨，占能源消费总量的比重</w:t>
      </w:r>
      <w:r>
        <w:rPr>
          <w:rFonts w:hint="eastAsia" w:eastAsia="仿宋_GB2312"/>
          <w:color w:val="auto"/>
          <w:kern w:val="32"/>
          <w:sz w:val="32"/>
          <w:szCs w:val="32"/>
          <w:lang w:eastAsia="zh-CN"/>
        </w:rPr>
        <w:t>超过</w:t>
      </w:r>
      <w:r>
        <w:rPr>
          <w:rFonts w:eastAsia="仿宋_GB2312"/>
          <w:color w:val="auto"/>
          <w:kern w:val="32"/>
          <w:sz w:val="32"/>
          <w:szCs w:val="32"/>
        </w:rPr>
        <w:t>1</w:t>
      </w:r>
      <w:r>
        <w:rPr>
          <w:rFonts w:hint="eastAsia" w:eastAsia="仿宋_GB2312"/>
          <w:color w:val="auto"/>
          <w:kern w:val="32"/>
          <w:sz w:val="32"/>
          <w:szCs w:val="32"/>
          <w:lang w:val="en-US" w:eastAsia="zh-CN"/>
        </w:rPr>
        <w:t>1</w:t>
      </w:r>
      <w:r>
        <w:rPr>
          <w:rFonts w:eastAsia="仿宋_GB2312"/>
          <w:color w:val="auto"/>
          <w:kern w:val="32"/>
          <w:sz w:val="32"/>
          <w:szCs w:val="32"/>
        </w:rPr>
        <w:t>%，力争提高4个百分点</w:t>
      </w:r>
      <w:r>
        <w:rPr>
          <w:rFonts w:hint="eastAsia" w:eastAsia="仿宋_GB2312"/>
          <w:color w:val="auto"/>
          <w:kern w:val="32"/>
          <w:sz w:val="32"/>
          <w:szCs w:val="32"/>
          <w:lang w:eastAsia="zh-CN"/>
        </w:rPr>
        <w:t>以上</w:t>
      </w:r>
      <w:r>
        <w:rPr>
          <w:rFonts w:eastAsia="仿宋_GB2312"/>
          <w:color w:val="auto"/>
          <w:kern w:val="32"/>
          <w:sz w:val="32"/>
          <w:szCs w:val="32"/>
        </w:rPr>
        <w:t>。</w:t>
      </w:r>
    </w:p>
    <w:p>
      <w:pPr>
        <w:overflowPunct w:val="0"/>
        <w:topLinePunct/>
        <w:adjustRightInd w:val="0"/>
        <w:snapToGrid w:val="0"/>
        <w:spacing w:line="560" w:lineRule="exact"/>
        <w:jc w:val="center"/>
        <w:rPr>
          <w:rFonts w:eastAsia="仿宋_GB2312"/>
          <w:color w:val="auto"/>
          <w:kern w:val="32"/>
          <w:sz w:val="32"/>
          <w:szCs w:val="32"/>
        </w:rPr>
      </w:pPr>
      <w:r>
        <w:rPr>
          <w:rFonts w:eastAsia="仿宋_GB2312"/>
          <w:color w:val="auto"/>
          <w:kern w:val="32"/>
          <w:sz w:val="32"/>
          <w:szCs w:val="32"/>
        </w:rPr>
        <w:t>表</w:t>
      </w:r>
      <w:r>
        <w:rPr>
          <w:rFonts w:hint="eastAsia" w:eastAsia="仿宋_GB2312"/>
          <w:color w:val="auto"/>
          <w:kern w:val="32"/>
          <w:sz w:val="32"/>
          <w:szCs w:val="32"/>
        </w:rPr>
        <w:t>2</w:t>
      </w:r>
      <w:r>
        <w:rPr>
          <w:rFonts w:eastAsia="仿宋_GB2312"/>
          <w:color w:val="auto"/>
          <w:kern w:val="32"/>
          <w:sz w:val="32"/>
          <w:szCs w:val="32"/>
        </w:rPr>
        <w:t xml:space="preserve">   “十四五”可再生能源发展目标</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3285"/>
        <w:gridCol w:w="1380"/>
        <w:gridCol w:w="1500"/>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2" w:hRule="atLeast"/>
        </w:trPr>
        <w:tc>
          <w:tcPr>
            <w:tcW w:w="1518" w:type="dxa"/>
            <w:noWrap w:val="0"/>
            <w:vAlign w:val="center"/>
          </w:tcPr>
          <w:p>
            <w:pPr>
              <w:widowControl/>
              <w:jc w:val="center"/>
              <w:rPr>
                <w:rFonts w:eastAsia="仿宋_GB2312"/>
                <w:b/>
                <w:color w:val="auto"/>
                <w:kern w:val="0"/>
                <w:sz w:val="24"/>
                <w:szCs w:val="24"/>
              </w:rPr>
            </w:pPr>
            <w:r>
              <w:rPr>
                <w:rFonts w:eastAsia="仿宋_GB2312"/>
                <w:b/>
                <w:color w:val="auto"/>
                <w:kern w:val="0"/>
                <w:sz w:val="24"/>
                <w:szCs w:val="24"/>
              </w:rPr>
              <w:t>类别</w:t>
            </w:r>
          </w:p>
        </w:tc>
        <w:tc>
          <w:tcPr>
            <w:tcW w:w="3285" w:type="dxa"/>
            <w:noWrap w:val="0"/>
            <w:vAlign w:val="center"/>
          </w:tcPr>
          <w:p>
            <w:pPr>
              <w:widowControl/>
              <w:jc w:val="center"/>
              <w:rPr>
                <w:rFonts w:eastAsia="仿宋_GB2312"/>
                <w:b/>
                <w:color w:val="auto"/>
                <w:kern w:val="0"/>
                <w:sz w:val="24"/>
                <w:szCs w:val="24"/>
              </w:rPr>
            </w:pPr>
            <w:r>
              <w:rPr>
                <w:rFonts w:eastAsia="仿宋_GB2312"/>
                <w:b/>
                <w:color w:val="auto"/>
                <w:kern w:val="0"/>
                <w:sz w:val="24"/>
                <w:szCs w:val="24"/>
              </w:rPr>
              <w:t>指标名称</w:t>
            </w:r>
          </w:p>
        </w:tc>
        <w:tc>
          <w:tcPr>
            <w:tcW w:w="1380" w:type="dxa"/>
            <w:noWrap w:val="0"/>
            <w:vAlign w:val="center"/>
          </w:tcPr>
          <w:p>
            <w:pPr>
              <w:widowControl/>
              <w:jc w:val="center"/>
              <w:rPr>
                <w:rFonts w:eastAsia="仿宋_GB2312"/>
                <w:b/>
                <w:color w:val="auto"/>
                <w:kern w:val="0"/>
                <w:sz w:val="24"/>
                <w:szCs w:val="24"/>
              </w:rPr>
            </w:pPr>
            <w:r>
              <w:rPr>
                <w:rFonts w:eastAsia="仿宋_GB2312"/>
                <w:b/>
                <w:color w:val="auto"/>
                <w:kern w:val="0"/>
                <w:sz w:val="24"/>
                <w:szCs w:val="24"/>
              </w:rPr>
              <w:t>单位</w:t>
            </w:r>
          </w:p>
        </w:tc>
        <w:tc>
          <w:tcPr>
            <w:tcW w:w="1500" w:type="dxa"/>
            <w:noWrap w:val="0"/>
            <w:vAlign w:val="center"/>
          </w:tcPr>
          <w:p>
            <w:pPr>
              <w:widowControl/>
              <w:jc w:val="center"/>
              <w:rPr>
                <w:rFonts w:eastAsia="仿宋_GB2312"/>
                <w:b/>
                <w:color w:val="auto"/>
                <w:kern w:val="0"/>
                <w:sz w:val="24"/>
                <w:szCs w:val="24"/>
              </w:rPr>
            </w:pPr>
            <w:r>
              <w:rPr>
                <w:rFonts w:eastAsia="仿宋_GB2312"/>
                <w:b/>
                <w:color w:val="auto"/>
                <w:kern w:val="0"/>
                <w:sz w:val="24"/>
                <w:szCs w:val="24"/>
              </w:rPr>
              <w:t>2025年</w:t>
            </w:r>
          </w:p>
        </w:tc>
        <w:tc>
          <w:tcPr>
            <w:tcW w:w="1142" w:type="dxa"/>
            <w:noWrap w:val="0"/>
            <w:vAlign w:val="center"/>
          </w:tcPr>
          <w:p>
            <w:pPr>
              <w:widowControl/>
              <w:jc w:val="center"/>
              <w:rPr>
                <w:rFonts w:eastAsia="仿宋_GB2312"/>
                <w:b/>
                <w:color w:val="auto"/>
                <w:kern w:val="0"/>
                <w:sz w:val="24"/>
                <w:szCs w:val="24"/>
              </w:rPr>
            </w:pPr>
            <w:r>
              <w:rPr>
                <w:rFonts w:eastAsia="仿宋_GB2312"/>
                <w:b/>
                <w:color w:val="auto"/>
                <w:kern w:val="0"/>
                <w:sz w:val="24"/>
                <w:szCs w:val="24"/>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2" w:hRule="atLeast"/>
        </w:trPr>
        <w:tc>
          <w:tcPr>
            <w:tcW w:w="1518" w:type="dxa"/>
            <w:vMerge w:val="restart"/>
            <w:noWrap w:val="0"/>
            <w:vAlign w:val="center"/>
          </w:tcPr>
          <w:p>
            <w:pPr>
              <w:widowControl/>
              <w:jc w:val="center"/>
              <w:rPr>
                <w:rFonts w:eastAsia="仿宋_GB2312"/>
                <w:color w:val="auto"/>
                <w:kern w:val="0"/>
                <w:sz w:val="24"/>
                <w:szCs w:val="24"/>
              </w:rPr>
            </w:pPr>
            <w:r>
              <w:rPr>
                <w:rFonts w:eastAsia="仿宋_GB2312"/>
                <w:color w:val="auto"/>
                <w:kern w:val="0"/>
                <w:sz w:val="24"/>
                <w:szCs w:val="24"/>
              </w:rPr>
              <w:t>电力装机</w:t>
            </w:r>
          </w:p>
        </w:tc>
        <w:tc>
          <w:tcPr>
            <w:tcW w:w="328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风电</w:t>
            </w:r>
          </w:p>
        </w:tc>
        <w:tc>
          <w:tcPr>
            <w:tcW w:w="138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万千瓦</w:t>
            </w:r>
          </w:p>
        </w:tc>
        <w:tc>
          <w:tcPr>
            <w:tcW w:w="150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200</w:t>
            </w:r>
          </w:p>
        </w:tc>
        <w:tc>
          <w:tcPr>
            <w:tcW w:w="1142"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2" w:hRule="atLeast"/>
        </w:trPr>
        <w:tc>
          <w:tcPr>
            <w:tcW w:w="1518" w:type="dxa"/>
            <w:vMerge w:val="continue"/>
            <w:noWrap w:val="0"/>
            <w:vAlign w:val="center"/>
          </w:tcPr>
          <w:p>
            <w:pPr>
              <w:widowControl/>
              <w:jc w:val="center"/>
              <w:rPr>
                <w:rFonts w:eastAsia="仿宋_GB2312"/>
                <w:color w:val="auto"/>
                <w:kern w:val="0"/>
                <w:sz w:val="24"/>
                <w:szCs w:val="24"/>
              </w:rPr>
            </w:pPr>
          </w:p>
        </w:tc>
        <w:tc>
          <w:tcPr>
            <w:tcW w:w="328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光伏发电</w:t>
            </w:r>
          </w:p>
        </w:tc>
        <w:tc>
          <w:tcPr>
            <w:tcW w:w="138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万千瓦</w:t>
            </w:r>
          </w:p>
        </w:tc>
        <w:tc>
          <w:tcPr>
            <w:tcW w:w="150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560</w:t>
            </w:r>
          </w:p>
        </w:tc>
        <w:tc>
          <w:tcPr>
            <w:tcW w:w="1142"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2" w:hRule="atLeast"/>
        </w:trPr>
        <w:tc>
          <w:tcPr>
            <w:tcW w:w="1518" w:type="dxa"/>
            <w:vMerge w:val="continue"/>
            <w:noWrap w:val="0"/>
            <w:vAlign w:val="center"/>
          </w:tcPr>
          <w:p>
            <w:pPr>
              <w:widowControl/>
              <w:jc w:val="center"/>
              <w:rPr>
                <w:rFonts w:eastAsia="仿宋_GB2312"/>
                <w:color w:val="auto"/>
                <w:kern w:val="0"/>
                <w:sz w:val="24"/>
                <w:szCs w:val="24"/>
              </w:rPr>
            </w:pPr>
          </w:p>
        </w:tc>
        <w:tc>
          <w:tcPr>
            <w:tcW w:w="328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生物质发电</w:t>
            </w:r>
          </w:p>
        </w:tc>
        <w:tc>
          <w:tcPr>
            <w:tcW w:w="138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万千瓦</w:t>
            </w:r>
          </w:p>
        </w:tc>
        <w:tc>
          <w:tcPr>
            <w:tcW w:w="150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45</w:t>
            </w:r>
          </w:p>
        </w:tc>
        <w:tc>
          <w:tcPr>
            <w:tcW w:w="1142"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2" w:hRule="atLeast"/>
        </w:trPr>
        <w:tc>
          <w:tcPr>
            <w:tcW w:w="1518" w:type="dxa"/>
            <w:vMerge w:val="continue"/>
            <w:noWrap w:val="0"/>
            <w:vAlign w:val="center"/>
          </w:tcPr>
          <w:p>
            <w:pPr>
              <w:widowControl/>
              <w:jc w:val="center"/>
              <w:rPr>
                <w:rFonts w:eastAsia="仿宋_GB2312"/>
                <w:color w:val="auto"/>
                <w:kern w:val="0"/>
                <w:sz w:val="24"/>
                <w:szCs w:val="24"/>
              </w:rPr>
            </w:pPr>
          </w:p>
        </w:tc>
        <w:tc>
          <w:tcPr>
            <w:tcW w:w="328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水电</w:t>
            </w:r>
          </w:p>
        </w:tc>
        <w:tc>
          <w:tcPr>
            <w:tcW w:w="138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万千瓦</w:t>
            </w:r>
          </w:p>
        </w:tc>
        <w:tc>
          <w:tcPr>
            <w:tcW w:w="150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0.5</w:t>
            </w:r>
          </w:p>
        </w:tc>
        <w:tc>
          <w:tcPr>
            <w:tcW w:w="1142"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2" w:hRule="atLeast"/>
        </w:trPr>
        <w:tc>
          <w:tcPr>
            <w:tcW w:w="1518" w:type="dxa"/>
            <w:vMerge w:val="continue"/>
            <w:noWrap w:val="0"/>
            <w:vAlign w:val="center"/>
          </w:tcPr>
          <w:p>
            <w:pPr>
              <w:widowControl/>
              <w:jc w:val="center"/>
              <w:rPr>
                <w:rFonts w:eastAsia="仿宋_GB2312"/>
                <w:color w:val="auto"/>
                <w:kern w:val="0"/>
                <w:sz w:val="24"/>
                <w:szCs w:val="24"/>
              </w:rPr>
            </w:pPr>
          </w:p>
        </w:tc>
        <w:tc>
          <w:tcPr>
            <w:tcW w:w="328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可再生能源电力装机</w:t>
            </w:r>
          </w:p>
        </w:tc>
        <w:tc>
          <w:tcPr>
            <w:tcW w:w="138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万千瓦</w:t>
            </w:r>
          </w:p>
        </w:tc>
        <w:tc>
          <w:tcPr>
            <w:tcW w:w="150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805.5</w:t>
            </w:r>
          </w:p>
        </w:tc>
        <w:tc>
          <w:tcPr>
            <w:tcW w:w="1142"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2" w:hRule="atLeast"/>
        </w:trPr>
        <w:tc>
          <w:tcPr>
            <w:tcW w:w="1518" w:type="dxa"/>
            <w:vMerge w:val="continue"/>
            <w:noWrap w:val="0"/>
            <w:vAlign w:val="center"/>
          </w:tcPr>
          <w:p>
            <w:pPr>
              <w:widowControl/>
              <w:jc w:val="center"/>
              <w:rPr>
                <w:rFonts w:eastAsia="仿宋_GB2312"/>
                <w:color w:val="auto"/>
                <w:kern w:val="0"/>
                <w:sz w:val="24"/>
                <w:szCs w:val="24"/>
              </w:rPr>
            </w:pPr>
          </w:p>
        </w:tc>
        <w:tc>
          <w:tcPr>
            <w:tcW w:w="328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占电力总装机比重</w:t>
            </w:r>
          </w:p>
        </w:tc>
        <w:tc>
          <w:tcPr>
            <w:tcW w:w="138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w:t>
            </w:r>
          </w:p>
        </w:tc>
        <w:tc>
          <w:tcPr>
            <w:tcW w:w="150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30左右</w:t>
            </w:r>
          </w:p>
        </w:tc>
        <w:tc>
          <w:tcPr>
            <w:tcW w:w="1142"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2" w:hRule="atLeast"/>
        </w:trPr>
        <w:tc>
          <w:tcPr>
            <w:tcW w:w="1518" w:type="dxa"/>
            <w:vMerge w:val="restart"/>
            <w:noWrap w:val="0"/>
            <w:vAlign w:val="center"/>
          </w:tcPr>
          <w:p>
            <w:pPr>
              <w:widowControl/>
              <w:jc w:val="center"/>
              <w:rPr>
                <w:rFonts w:eastAsia="仿宋_GB2312"/>
                <w:color w:val="auto"/>
                <w:kern w:val="0"/>
                <w:sz w:val="24"/>
                <w:szCs w:val="24"/>
              </w:rPr>
            </w:pPr>
            <w:r>
              <w:rPr>
                <w:rFonts w:eastAsia="仿宋_GB2312"/>
                <w:color w:val="auto"/>
                <w:kern w:val="0"/>
                <w:sz w:val="24"/>
                <w:szCs w:val="24"/>
              </w:rPr>
              <w:t>电力消纳量</w:t>
            </w:r>
          </w:p>
        </w:tc>
        <w:tc>
          <w:tcPr>
            <w:tcW w:w="328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可再生能源电力消纳量</w:t>
            </w:r>
          </w:p>
        </w:tc>
        <w:tc>
          <w:tcPr>
            <w:tcW w:w="138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亿千瓦时</w:t>
            </w:r>
          </w:p>
        </w:tc>
        <w:tc>
          <w:tcPr>
            <w:tcW w:w="150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2</w:t>
            </w:r>
            <w:r>
              <w:rPr>
                <w:rFonts w:hint="eastAsia" w:eastAsia="仿宋_GB2312"/>
                <w:color w:val="auto"/>
                <w:kern w:val="0"/>
                <w:sz w:val="24"/>
                <w:szCs w:val="24"/>
              </w:rPr>
              <w:t>42</w:t>
            </w:r>
          </w:p>
        </w:tc>
        <w:tc>
          <w:tcPr>
            <w:tcW w:w="1142"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2" w:hRule="atLeast"/>
        </w:trPr>
        <w:tc>
          <w:tcPr>
            <w:tcW w:w="1518" w:type="dxa"/>
            <w:vMerge w:val="continue"/>
            <w:noWrap w:val="0"/>
            <w:vAlign w:val="center"/>
          </w:tcPr>
          <w:p>
            <w:pPr>
              <w:widowControl/>
              <w:jc w:val="center"/>
              <w:rPr>
                <w:rFonts w:eastAsia="仿宋_GB2312"/>
                <w:color w:val="auto"/>
                <w:kern w:val="0"/>
                <w:sz w:val="24"/>
                <w:szCs w:val="24"/>
              </w:rPr>
            </w:pPr>
          </w:p>
        </w:tc>
        <w:tc>
          <w:tcPr>
            <w:tcW w:w="328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占全社会用电量比重</w:t>
            </w:r>
          </w:p>
        </w:tc>
        <w:tc>
          <w:tcPr>
            <w:tcW w:w="138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w:t>
            </w:r>
          </w:p>
        </w:tc>
        <w:tc>
          <w:tcPr>
            <w:tcW w:w="150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22左右</w:t>
            </w:r>
          </w:p>
        </w:tc>
        <w:tc>
          <w:tcPr>
            <w:tcW w:w="1142"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2" w:hRule="atLeast"/>
        </w:trPr>
        <w:tc>
          <w:tcPr>
            <w:tcW w:w="1518" w:type="dxa"/>
            <w:vMerge w:val="restart"/>
            <w:noWrap w:val="0"/>
            <w:vAlign w:val="center"/>
          </w:tcPr>
          <w:p>
            <w:pPr>
              <w:widowControl/>
              <w:jc w:val="center"/>
              <w:rPr>
                <w:rFonts w:eastAsia="仿宋_GB2312"/>
                <w:color w:val="auto"/>
                <w:kern w:val="0"/>
                <w:sz w:val="24"/>
                <w:szCs w:val="24"/>
              </w:rPr>
            </w:pPr>
            <w:r>
              <w:rPr>
                <w:rFonts w:eastAsia="仿宋_GB2312"/>
                <w:color w:val="auto"/>
                <w:kern w:val="0"/>
                <w:sz w:val="24"/>
                <w:szCs w:val="24"/>
              </w:rPr>
              <w:t>消费量</w:t>
            </w:r>
          </w:p>
        </w:tc>
        <w:tc>
          <w:tcPr>
            <w:tcW w:w="328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可再生能源消费量</w:t>
            </w:r>
          </w:p>
        </w:tc>
        <w:tc>
          <w:tcPr>
            <w:tcW w:w="138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万吨标煤</w:t>
            </w:r>
          </w:p>
        </w:tc>
        <w:tc>
          <w:tcPr>
            <w:tcW w:w="150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&gt;1000</w:t>
            </w:r>
          </w:p>
        </w:tc>
        <w:tc>
          <w:tcPr>
            <w:tcW w:w="1142"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2" w:hRule="atLeast"/>
        </w:trPr>
        <w:tc>
          <w:tcPr>
            <w:tcW w:w="1518" w:type="dxa"/>
            <w:vMerge w:val="continue"/>
            <w:noWrap w:val="0"/>
            <w:vAlign w:val="center"/>
          </w:tcPr>
          <w:p>
            <w:pPr>
              <w:widowControl/>
              <w:jc w:val="center"/>
              <w:rPr>
                <w:rFonts w:eastAsia="仿宋_GB2312"/>
                <w:color w:val="auto"/>
                <w:kern w:val="0"/>
                <w:sz w:val="24"/>
                <w:szCs w:val="24"/>
              </w:rPr>
            </w:pPr>
          </w:p>
        </w:tc>
        <w:tc>
          <w:tcPr>
            <w:tcW w:w="3285"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占能源消费总量比重</w:t>
            </w:r>
          </w:p>
        </w:tc>
        <w:tc>
          <w:tcPr>
            <w:tcW w:w="1380"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w:t>
            </w:r>
          </w:p>
        </w:tc>
        <w:tc>
          <w:tcPr>
            <w:tcW w:w="1500" w:type="dxa"/>
            <w:noWrap w:val="0"/>
            <w:vAlign w:val="center"/>
          </w:tcPr>
          <w:p>
            <w:pPr>
              <w:widowControl/>
              <w:jc w:val="center"/>
              <w:rPr>
                <w:rFonts w:hint="eastAsia" w:eastAsia="仿宋_GB2312"/>
                <w:color w:val="auto"/>
                <w:kern w:val="0"/>
                <w:sz w:val="24"/>
                <w:szCs w:val="24"/>
                <w:lang w:eastAsia="zh-CN"/>
              </w:rPr>
            </w:pPr>
            <w:r>
              <w:rPr>
                <w:rFonts w:eastAsia="仿宋_GB2312"/>
                <w:color w:val="auto"/>
                <w:kern w:val="0"/>
                <w:sz w:val="24"/>
                <w:szCs w:val="24"/>
              </w:rPr>
              <w:t>&gt;1</w:t>
            </w:r>
            <w:r>
              <w:rPr>
                <w:rFonts w:hint="eastAsia" w:eastAsia="仿宋_GB2312"/>
                <w:color w:val="auto"/>
                <w:kern w:val="0"/>
                <w:sz w:val="24"/>
                <w:szCs w:val="24"/>
                <w:lang w:val="en-US" w:eastAsia="zh-CN"/>
              </w:rPr>
              <w:t>1</w:t>
            </w:r>
          </w:p>
        </w:tc>
        <w:tc>
          <w:tcPr>
            <w:tcW w:w="1142" w:type="dxa"/>
            <w:noWrap w:val="0"/>
            <w:vAlign w:val="center"/>
          </w:tcPr>
          <w:p>
            <w:pPr>
              <w:widowControl/>
              <w:jc w:val="center"/>
              <w:rPr>
                <w:rFonts w:eastAsia="仿宋_GB2312"/>
                <w:color w:val="auto"/>
                <w:kern w:val="0"/>
                <w:sz w:val="24"/>
                <w:szCs w:val="24"/>
              </w:rPr>
            </w:pPr>
            <w:r>
              <w:rPr>
                <w:rFonts w:eastAsia="仿宋_GB2312"/>
                <w:color w:val="auto"/>
                <w:kern w:val="0"/>
                <w:sz w:val="24"/>
                <w:szCs w:val="24"/>
              </w:rPr>
              <w:t>预期性</w:t>
            </w:r>
          </w:p>
        </w:tc>
      </w:tr>
      <w:bookmarkEnd w:id="3"/>
      <w:bookmarkEnd w:id="4"/>
      <w:bookmarkEnd w:id="5"/>
      <w:bookmarkEnd w:id="6"/>
      <w:bookmarkEnd w:id="7"/>
      <w:bookmarkEnd w:id="8"/>
      <w:bookmarkEnd w:id="9"/>
      <w:bookmarkEnd w:id="10"/>
      <w:bookmarkEnd w:id="11"/>
      <w:bookmarkEnd w:id="12"/>
      <w:bookmarkEnd w:id="13"/>
    </w:tbl>
    <w:p>
      <w:pPr>
        <w:pStyle w:val="2"/>
        <w:spacing w:before="0" w:beforeLines="0" w:line="560" w:lineRule="exact"/>
        <w:ind w:firstLine="640"/>
        <w:rPr>
          <w:color w:val="auto"/>
          <w:lang w:val="en-US" w:eastAsia="zh-CN"/>
        </w:rPr>
      </w:pPr>
      <w:bookmarkStart w:id="35" w:name="_Toc26932"/>
      <w:bookmarkStart w:id="36" w:name="_Toc1289"/>
      <w:bookmarkStart w:id="37" w:name="_Toc15311"/>
      <w:bookmarkStart w:id="38" w:name="_Toc306780062"/>
      <w:bookmarkStart w:id="39" w:name="_Toc253584913"/>
      <w:bookmarkStart w:id="40" w:name="_Toc307053912"/>
      <w:bookmarkStart w:id="41" w:name="_Toc20037"/>
      <w:bookmarkStart w:id="42" w:name="_Toc11955"/>
      <w:bookmarkStart w:id="43" w:name="_Toc306956202"/>
      <w:bookmarkStart w:id="44" w:name="_Toc253743969"/>
      <w:bookmarkStart w:id="45" w:name="_Toc513036407"/>
      <w:bookmarkStart w:id="46" w:name="_Toc306766271"/>
      <w:bookmarkStart w:id="47" w:name="_Toc10197"/>
      <w:bookmarkStart w:id="48" w:name="_Toc253594481"/>
      <w:bookmarkStart w:id="49" w:name="_Toc3289"/>
      <w:r>
        <w:rPr>
          <w:color w:val="auto"/>
          <w:lang w:eastAsia="zh-CN"/>
        </w:rPr>
        <w:t>四、</w:t>
      </w:r>
      <w:r>
        <w:rPr>
          <w:color w:val="auto"/>
        </w:rPr>
        <w:t>重点任务</w:t>
      </w:r>
      <w:bookmarkEnd w:id="35"/>
      <w:bookmarkEnd w:id="36"/>
      <w:bookmarkEnd w:id="37"/>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坚持分布式和集中式并重，加快本地可再生能源开发，打造滨海“盐光互补”、宁河“风光互补”等百万千瓦级新能源基地</w:t>
      </w:r>
      <w:r>
        <w:rPr>
          <w:rFonts w:hint="eastAsia" w:eastAsia="仿宋_GB2312"/>
          <w:color w:val="auto"/>
          <w:kern w:val="32"/>
          <w:sz w:val="32"/>
          <w:szCs w:val="32"/>
          <w:lang w:eastAsia="zh-CN"/>
        </w:rPr>
        <w:t>，</w:t>
      </w:r>
      <w:r>
        <w:rPr>
          <w:rFonts w:hint="eastAsia" w:ascii="Times New Roman" w:hAnsi="Times New Roman" w:eastAsia="仿宋_GB2312" w:cs="Times New Roman"/>
          <w:sz w:val="32"/>
          <w:szCs w:val="32"/>
          <w:lang w:val="en-US" w:eastAsia="zh-CN"/>
        </w:rPr>
        <w:t>积极争取外部绿电，</w:t>
      </w:r>
      <w:r>
        <w:rPr>
          <w:rFonts w:hint="eastAsia" w:eastAsia="仿宋_GB2312"/>
          <w:color w:val="auto"/>
          <w:kern w:val="32"/>
          <w:sz w:val="32"/>
          <w:szCs w:val="32"/>
          <w:lang w:eastAsia="zh-CN"/>
        </w:rPr>
        <w:t>增强</w:t>
      </w:r>
      <w:r>
        <w:rPr>
          <w:rFonts w:eastAsia="仿宋_GB2312"/>
          <w:color w:val="auto"/>
          <w:kern w:val="32"/>
          <w:sz w:val="32"/>
          <w:szCs w:val="32"/>
        </w:rPr>
        <w:t>可再生能源消纳能力</w:t>
      </w:r>
      <w:r>
        <w:rPr>
          <w:rFonts w:hint="eastAsia" w:eastAsia="仿宋_GB2312"/>
          <w:color w:val="auto"/>
          <w:kern w:val="32"/>
          <w:sz w:val="32"/>
          <w:szCs w:val="32"/>
          <w:lang w:eastAsia="zh-CN"/>
        </w:rPr>
        <w:t>，</w:t>
      </w:r>
      <w:r>
        <w:rPr>
          <w:rFonts w:hint="eastAsia" w:ascii="Times New Roman" w:hAnsi="Times New Roman" w:eastAsia="仿宋_GB2312" w:cs="Times New Roman"/>
          <w:sz w:val="32"/>
          <w:szCs w:val="32"/>
          <w:lang w:val="en-US" w:eastAsia="zh-CN"/>
        </w:rPr>
        <w:t>提升可再生能源电力消费比重。</w:t>
      </w:r>
      <w:r>
        <w:rPr>
          <w:rFonts w:eastAsia="仿宋_GB2312"/>
          <w:color w:val="auto"/>
          <w:kern w:val="32"/>
          <w:sz w:val="32"/>
          <w:szCs w:val="32"/>
        </w:rPr>
        <w:t>推动新能源占比逐</w:t>
      </w:r>
      <w:r>
        <w:rPr>
          <w:rFonts w:hint="eastAsia" w:eastAsia="仿宋_GB2312"/>
          <w:color w:val="auto"/>
          <w:kern w:val="32"/>
          <w:sz w:val="32"/>
          <w:szCs w:val="32"/>
        </w:rPr>
        <w:t>渐</w:t>
      </w:r>
      <w:r>
        <w:rPr>
          <w:rFonts w:eastAsia="仿宋_GB2312"/>
          <w:color w:val="auto"/>
          <w:kern w:val="32"/>
          <w:sz w:val="32"/>
          <w:szCs w:val="32"/>
        </w:rPr>
        <w:t>提高的新型电力系统建设，逐步形成风、光、水、地热、生物质等多元互补，源、网、荷、储平衡发展的可再生能源开发利用格局。</w:t>
      </w:r>
    </w:p>
    <w:p>
      <w:pPr>
        <w:spacing w:line="560" w:lineRule="exact"/>
        <w:ind w:firstLine="640" w:firstLineChars="200"/>
        <w:rPr>
          <w:rFonts w:ascii="Times New Roman" w:hAnsi="Times New Roman" w:eastAsia="楷体_GB2312" w:cs="Times New Roman"/>
          <w:color w:val="auto"/>
          <w:sz w:val="32"/>
          <w:szCs w:val="32"/>
          <w:lang w:eastAsia="zh-CN"/>
        </w:rPr>
      </w:pPr>
      <w:bookmarkStart w:id="50" w:name="_Toc13037"/>
      <w:bookmarkStart w:id="51" w:name="_Toc19905"/>
      <w:bookmarkStart w:id="52" w:name="_Toc19712"/>
      <w:r>
        <w:rPr>
          <w:rFonts w:ascii="Times New Roman" w:hAnsi="Times New Roman" w:eastAsia="楷体_GB2312" w:cs="Times New Roman"/>
          <w:color w:val="auto"/>
          <w:sz w:val="32"/>
          <w:szCs w:val="32"/>
          <w:lang w:eastAsia="zh-CN"/>
        </w:rPr>
        <w:t>（一）海陆并举推进风电开发</w:t>
      </w:r>
      <w:bookmarkEnd w:id="50"/>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在落实电力送出和消纳条件的前提下，积极开发陆上风电，稳妥推进海上风电，促进风能资源高效开发利用，带动风电装备制造产业发展。到2025年，风电装机规模达到200万千瓦。</w:t>
      </w:r>
    </w:p>
    <w:p>
      <w:pPr>
        <w:pStyle w:val="4"/>
        <w:spacing w:line="560" w:lineRule="exact"/>
        <w:ind w:firstLine="640"/>
        <w:rPr>
          <w:color w:val="auto"/>
          <w:lang w:eastAsia="zh-CN"/>
        </w:rPr>
      </w:pPr>
      <w:r>
        <w:rPr>
          <w:rFonts w:hint="eastAsia"/>
          <w:color w:val="auto"/>
          <w:lang w:val="en-US" w:eastAsia="zh-CN"/>
        </w:rPr>
        <w:t>1.</w:t>
      </w:r>
      <w:r>
        <w:rPr>
          <w:color w:val="auto"/>
          <w:kern w:val="32"/>
          <w:szCs w:val="32"/>
          <w:lang w:eastAsia="zh-CN"/>
        </w:rPr>
        <w:t>陆上风电</w:t>
      </w:r>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以滨海新区</w:t>
      </w:r>
      <w:r>
        <w:rPr>
          <w:rFonts w:hint="eastAsia" w:eastAsia="仿宋_GB2312"/>
          <w:color w:val="auto"/>
          <w:kern w:val="32"/>
          <w:sz w:val="32"/>
          <w:szCs w:val="32"/>
          <w:lang w:eastAsia="zh-CN"/>
        </w:rPr>
        <w:t>等区域</w:t>
      </w:r>
      <w:r>
        <w:rPr>
          <w:rFonts w:eastAsia="仿宋_GB2312"/>
          <w:color w:val="auto"/>
          <w:kern w:val="32"/>
          <w:sz w:val="32"/>
          <w:szCs w:val="32"/>
        </w:rPr>
        <w:t>为重点，积极开发陆上风资源，加快推进大苏庄、小王庄</w:t>
      </w:r>
      <w:r>
        <w:rPr>
          <w:rFonts w:hint="eastAsia" w:eastAsia="仿宋_GB2312"/>
          <w:color w:val="auto"/>
          <w:kern w:val="32"/>
          <w:sz w:val="32"/>
          <w:szCs w:val="32"/>
          <w:lang w:eastAsia="zh-CN"/>
        </w:rPr>
        <w:t>、</w:t>
      </w:r>
      <w:r>
        <w:rPr>
          <w:rFonts w:eastAsia="仿宋_GB2312"/>
          <w:color w:val="auto"/>
          <w:kern w:val="32"/>
          <w:sz w:val="32"/>
          <w:szCs w:val="32"/>
        </w:rPr>
        <w:t>东棘坨等一批集中式风电项目建设。支持具备条件的园区、企业依托自有建设用地，采用“自发自用、余电上网”模式，促进风电就近消纳利用。创新风电发展方式，结合储能设施建设，推进规模化风电开发；发挥风能资源分布广泛和应用灵活的特点，鼓励开展多种形式的风电消纳，促进风电与其他产业融合发展。</w:t>
      </w:r>
    </w:p>
    <w:p>
      <w:pPr>
        <w:pStyle w:val="4"/>
        <w:spacing w:line="560" w:lineRule="exact"/>
        <w:ind w:firstLine="640"/>
        <w:rPr>
          <w:color w:val="auto"/>
        </w:rPr>
      </w:pPr>
      <w:r>
        <w:rPr>
          <w:rFonts w:hint="eastAsia"/>
          <w:color w:val="auto"/>
          <w:lang w:val="en-US" w:eastAsia="zh-CN"/>
        </w:rPr>
        <w:t>2.</w:t>
      </w:r>
      <w:r>
        <w:rPr>
          <w:color w:val="auto"/>
          <w:lang w:eastAsia="zh-CN"/>
        </w:rPr>
        <w:t>海上风电</w:t>
      </w:r>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按照“试点先行、以点带面”的原则，结合生态文明建设要求，统筹考虑开发强度和资源环境承载能力，科学稳妥推进海上风电开发。结合海洋功能区划、沿岸经济建设及产业布局等，优先发展离岸距离不少于10公里、滩涂宽度超过10公里时海域水深不少于10米的海域，加快推进远海90万千瓦海上风电项目前期工作；</w:t>
      </w:r>
      <w:r>
        <w:rPr>
          <w:rFonts w:eastAsia="仿宋_GB2312"/>
          <w:color w:val="auto"/>
          <w:sz w:val="32"/>
          <w:szCs w:val="24"/>
        </w:rPr>
        <w:t>积极协调突破政策瓶颈，</w:t>
      </w:r>
      <w:r>
        <w:rPr>
          <w:rFonts w:eastAsia="仿宋_GB2312"/>
          <w:color w:val="auto"/>
          <w:kern w:val="32"/>
          <w:sz w:val="32"/>
          <w:szCs w:val="32"/>
        </w:rPr>
        <w:t>推动防波堤等近海风电开发。支持海上风电与海洋牧场等融合开发，探索海上风电制氢，促进海上风电发展。</w:t>
      </w:r>
    </w:p>
    <w:p>
      <w:pPr>
        <w:spacing w:line="560" w:lineRule="exact"/>
        <w:ind w:firstLine="640" w:firstLineChars="200"/>
        <w:rPr>
          <w:rFonts w:ascii="Times New Roman" w:hAnsi="Times New Roman" w:eastAsia="楷体_GB2312" w:cs="Times New Roman"/>
          <w:color w:val="auto"/>
          <w:sz w:val="32"/>
          <w:szCs w:val="32"/>
          <w:lang w:eastAsia="zh-CN"/>
        </w:rPr>
      </w:pPr>
      <w:bookmarkStart w:id="53" w:name="_Toc13133"/>
      <w:r>
        <w:rPr>
          <w:rFonts w:ascii="Times New Roman" w:hAnsi="Times New Roman" w:eastAsia="楷体_GB2312" w:cs="Times New Roman"/>
          <w:color w:val="auto"/>
          <w:sz w:val="32"/>
          <w:szCs w:val="32"/>
          <w:lang w:eastAsia="zh-CN"/>
        </w:rPr>
        <w:t>（二）集散并重加快光伏发电开发</w:t>
      </w:r>
      <w:bookmarkEnd w:id="53"/>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充分挖掘屋顶资源潜力，结合电力体制改革，加快发展分布式光伏发电；统筹土地资源利用、电网消纳和生态保护，大力推进集中式光伏发电。到2025年，太阳能光伏发电装机规模达到560万千瓦。</w:t>
      </w:r>
    </w:p>
    <w:p>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color w:val="auto"/>
          <w:lang w:val="en-US" w:eastAsia="zh-CN"/>
        </w:rPr>
      </w:pPr>
      <w:r>
        <w:rPr>
          <w:rFonts w:hint="eastAsia"/>
          <w:color w:val="auto"/>
          <w:lang w:val="en-US" w:eastAsia="zh-CN"/>
        </w:rPr>
        <w:t>1.</w:t>
      </w:r>
      <w:r>
        <w:rPr>
          <w:color w:val="auto"/>
          <w:lang w:val="en-US" w:eastAsia="zh-CN"/>
        </w:rPr>
        <w:t>分布式光伏</w:t>
      </w:r>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推动光伏建筑一体化应用，促进光伏发电与城市建筑、基础设施等要素融合发展</w:t>
      </w:r>
      <w:r>
        <w:rPr>
          <w:rFonts w:hint="eastAsia" w:eastAsia="仿宋_GB2312"/>
          <w:color w:val="auto"/>
          <w:kern w:val="32"/>
          <w:sz w:val="32"/>
          <w:szCs w:val="32"/>
          <w:lang w:eastAsia="zh-CN"/>
        </w:rPr>
        <w:t>，鼓励</w:t>
      </w:r>
      <w:r>
        <w:rPr>
          <w:rFonts w:eastAsia="仿宋_GB2312"/>
          <w:color w:val="auto"/>
          <w:kern w:val="32"/>
          <w:sz w:val="32"/>
          <w:szCs w:val="32"/>
        </w:rPr>
        <w:t>新建建筑同步安装光伏发电设施或预留安装条件</w:t>
      </w:r>
      <w:r>
        <w:rPr>
          <w:rFonts w:hint="eastAsia" w:eastAsia="仿宋_GB2312"/>
          <w:color w:val="auto"/>
          <w:kern w:val="32"/>
          <w:sz w:val="32"/>
          <w:szCs w:val="32"/>
          <w:lang w:eastAsia="zh-CN"/>
        </w:rPr>
        <w:t>，</w:t>
      </w:r>
      <w:r>
        <w:rPr>
          <w:rFonts w:eastAsia="仿宋_GB2312"/>
          <w:color w:val="auto"/>
          <w:kern w:val="32"/>
          <w:sz w:val="32"/>
          <w:szCs w:val="32"/>
        </w:rPr>
        <w:t>政府投资项目优先采用光伏发电满足部分用能需求</w:t>
      </w:r>
      <w:r>
        <w:rPr>
          <w:rFonts w:hint="eastAsia" w:eastAsia="仿宋_GB2312"/>
          <w:color w:val="auto"/>
          <w:kern w:val="32"/>
          <w:sz w:val="32"/>
          <w:szCs w:val="32"/>
          <w:lang w:eastAsia="zh-CN"/>
        </w:rPr>
        <w:t>。</w:t>
      </w:r>
      <w:r>
        <w:rPr>
          <w:rFonts w:eastAsia="仿宋_GB2312"/>
          <w:color w:val="auto"/>
          <w:kern w:val="32"/>
          <w:sz w:val="32"/>
          <w:szCs w:val="32"/>
        </w:rPr>
        <w:t>支持利用工业园区、学校、医院、商场、写字楼等公共建筑，以及机场、车站、高速公路服务区等交通设施，推广分布式光伏发电系统。鼓励居民在自有产权住宅屋顶建设户用分布式光伏。推进整区（镇）屋顶分布式光伏开发试点。</w:t>
      </w:r>
    </w:p>
    <w:p>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Times New Roman" w:hAnsi="Times New Roman" w:cs="Times New Roman"/>
          <w:color w:val="auto"/>
          <w:lang w:val="en-US" w:eastAsia="zh-CN"/>
        </w:rPr>
      </w:pPr>
      <w:r>
        <w:rPr>
          <w:rFonts w:hint="eastAsia" w:ascii="Times New Roman" w:hAnsi="Times New Roman" w:cs="Times New Roman"/>
          <w:color w:val="auto"/>
          <w:lang w:val="en-US" w:eastAsia="zh-CN"/>
        </w:rPr>
        <w:t>2.</w:t>
      </w:r>
      <w:r>
        <w:rPr>
          <w:rFonts w:ascii="Times New Roman" w:hAnsi="Times New Roman" w:cs="Times New Roman"/>
          <w:color w:val="auto"/>
          <w:lang w:val="en-US" w:eastAsia="zh-CN"/>
        </w:rPr>
        <w:t>集中式光伏</w:t>
      </w:r>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按照“优先存量、优化增量”的原则，结合土地、电网等资源条件，有效利用坑塘水面、农业设施，推进渔光互补、农光互补等复合型光伏项目建设；盘活荒山荒地、盐场、沿海滩涂等资源，开展盐光互补、水面光伏等项目建设，推动滨海新区“盐光互补”百万千瓦级基地建设。拓展“光伏+”综合应用领域，探索“光伏+制氢”、“光伏+晒盐”、“光伏+旅游”等综合应用模式。充分发挥风、光资源互补优势，鼓励已投产风电场建设风光互补光伏电站。</w:t>
      </w:r>
    </w:p>
    <w:p>
      <w:pPr>
        <w:spacing w:line="560" w:lineRule="exact"/>
        <w:ind w:firstLine="640" w:firstLineChars="200"/>
        <w:rPr>
          <w:rFonts w:ascii="Times New Roman" w:hAnsi="Times New Roman" w:eastAsia="楷体_GB2312" w:cs="Times New Roman"/>
          <w:color w:val="auto"/>
          <w:sz w:val="32"/>
          <w:szCs w:val="32"/>
          <w:lang w:eastAsia="zh-CN"/>
        </w:rPr>
      </w:pPr>
      <w:bookmarkStart w:id="54" w:name="_Toc12729"/>
      <w:r>
        <w:rPr>
          <w:rFonts w:ascii="Times New Roman" w:hAnsi="Times New Roman" w:eastAsia="楷体_GB2312" w:cs="Times New Roman"/>
          <w:color w:val="auto"/>
          <w:sz w:val="32"/>
          <w:szCs w:val="32"/>
          <w:lang w:eastAsia="zh-CN"/>
        </w:rPr>
        <w:t>（三）因地制宜开发生物质能</w:t>
      </w:r>
      <w:bookmarkEnd w:id="54"/>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按照“因地制宜、多元发展”的思路，积极发展农林生物质热电联产，有序推进垃圾焚烧发电，支持生物质成型燃料、生物天然气、生物液体燃料等多种形式利用。到2025年，全市生物质发电装机规模达到45万千瓦。</w:t>
      </w:r>
    </w:p>
    <w:p>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color w:val="auto"/>
          <w:lang w:eastAsia="zh-CN"/>
        </w:rPr>
      </w:pPr>
      <w:r>
        <w:rPr>
          <w:rFonts w:hint="eastAsia"/>
          <w:color w:val="auto"/>
          <w:lang w:val="en-US" w:eastAsia="zh-CN"/>
        </w:rPr>
        <w:t>1.</w:t>
      </w:r>
      <w:r>
        <w:rPr>
          <w:color w:val="auto"/>
          <w:lang w:eastAsia="zh-CN"/>
        </w:rPr>
        <w:t>农林生物质热电联产</w:t>
      </w:r>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鼓励发展农林生物质热电联产，满足周边居民、企业用热需求，严控只发电不供热项目。支持在宝坻、蓟州等农林生物质资源丰富区，统筹燃料收、储、运，稳定市场供应。</w:t>
      </w:r>
    </w:p>
    <w:p>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color w:val="auto"/>
          <w:lang w:eastAsia="zh-CN"/>
        </w:rPr>
      </w:pPr>
      <w:r>
        <w:rPr>
          <w:rFonts w:hint="eastAsia" w:ascii="Times New Roman" w:hAnsi="Times New Roman" w:cs="Times New Roman"/>
          <w:color w:val="auto"/>
          <w:lang w:val="en-US" w:eastAsia="zh-CN"/>
        </w:rPr>
        <w:t>2.</w:t>
      </w:r>
      <w:r>
        <w:rPr>
          <w:rFonts w:ascii="Times New Roman" w:hAnsi="Times New Roman" w:cs="Times New Roman"/>
          <w:color w:val="auto"/>
          <w:lang w:eastAsia="zh-CN"/>
        </w:rPr>
        <w:t>垃圾</w:t>
      </w:r>
      <w:r>
        <w:rPr>
          <w:color w:val="auto"/>
          <w:lang w:eastAsia="zh-CN"/>
        </w:rPr>
        <w:t>焚烧发电</w:t>
      </w:r>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统筹垃圾焚烧发电布局，提高垃圾“减量化、资源化、无害化”处理水平。加快先进污染处理技术应用和推广，不断提高垃圾焚烧发电环保水平。</w:t>
      </w:r>
    </w:p>
    <w:p>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color w:val="auto"/>
          <w:szCs w:val="22"/>
          <w:lang w:eastAsia="zh-CN"/>
        </w:rPr>
      </w:pPr>
      <w:r>
        <w:rPr>
          <w:rFonts w:hint="eastAsia" w:ascii="Times New Roman" w:hAnsi="Times New Roman" w:cs="Times New Roman"/>
          <w:color w:val="auto"/>
          <w:lang w:val="en-US" w:eastAsia="zh-CN"/>
        </w:rPr>
        <w:t>3.</w:t>
      </w:r>
      <w:r>
        <w:rPr>
          <w:color w:val="auto"/>
          <w:szCs w:val="22"/>
          <w:lang w:eastAsia="zh-CN"/>
        </w:rPr>
        <w:t>其他利用形式</w:t>
      </w:r>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鼓励其他多种形式的生物质能综合利用。鼓励生物燃料乙醇等生物液体燃料应用</w:t>
      </w:r>
      <w:r>
        <w:rPr>
          <w:rFonts w:hint="eastAsia" w:eastAsia="仿宋_GB2312"/>
          <w:color w:val="auto"/>
          <w:kern w:val="32"/>
          <w:sz w:val="32"/>
          <w:szCs w:val="32"/>
          <w:lang w:eastAsia="zh-CN"/>
        </w:rPr>
        <w:t>；支持符合标准的</w:t>
      </w:r>
      <w:r>
        <w:rPr>
          <w:rFonts w:eastAsia="仿宋_GB2312"/>
          <w:color w:val="auto"/>
          <w:kern w:val="32"/>
          <w:sz w:val="32"/>
          <w:szCs w:val="32"/>
        </w:rPr>
        <w:t>生物天然气并入城</w:t>
      </w:r>
      <w:r>
        <w:rPr>
          <w:rFonts w:hint="eastAsia" w:eastAsia="仿宋_GB2312"/>
          <w:color w:val="auto"/>
          <w:kern w:val="32"/>
          <w:sz w:val="32"/>
          <w:szCs w:val="32"/>
          <w:lang w:eastAsia="zh-CN"/>
        </w:rPr>
        <w:t>镇</w:t>
      </w:r>
      <w:r>
        <w:rPr>
          <w:rFonts w:eastAsia="仿宋_GB2312"/>
          <w:color w:val="auto"/>
          <w:kern w:val="32"/>
          <w:sz w:val="32"/>
          <w:szCs w:val="32"/>
        </w:rPr>
        <w:t>燃气管网，促进生物天然气在工业蒸汽、热力以及居民炊事、采暖等领域应用；</w:t>
      </w:r>
      <w:r>
        <w:rPr>
          <w:rFonts w:hint="eastAsia" w:eastAsia="仿宋_GB2312"/>
          <w:color w:val="auto"/>
          <w:kern w:val="32"/>
          <w:sz w:val="32"/>
          <w:szCs w:val="32"/>
          <w:lang w:eastAsia="zh-CN"/>
        </w:rPr>
        <w:t>支持</w:t>
      </w:r>
      <w:r>
        <w:rPr>
          <w:rFonts w:eastAsia="仿宋_GB2312"/>
          <w:color w:val="auto"/>
          <w:kern w:val="32"/>
          <w:sz w:val="32"/>
          <w:szCs w:val="32"/>
        </w:rPr>
        <w:t>生活污水处理厂以及造纸、酿酒、印染、皮革等企业结合有机废物、废水处理，配套建设沼气发电工程</w:t>
      </w:r>
      <w:r>
        <w:rPr>
          <w:rFonts w:hint="eastAsia" w:eastAsia="仿宋_GB2312"/>
          <w:color w:val="auto"/>
          <w:kern w:val="32"/>
          <w:sz w:val="32"/>
          <w:szCs w:val="32"/>
          <w:lang w:eastAsia="zh-CN"/>
        </w:rPr>
        <w:t>。</w:t>
      </w:r>
    </w:p>
    <w:p>
      <w:pPr>
        <w:spacing w:line="560" w:lineRule="exact"/>
        <w:ind w:firstLine="640" w:firstLineChars="200"/>
        <w:rPr>
          <w:rFonts w:ascii="Times New Roman" w:hAnsi="Times New Roman" w:eastAsia="楷体_GB2312" w:cs="Times New Roman"/>
          <w:color w:val="auto"/>
          <w:sz w:val="32"/>
          <w:szCs w:val="32"/>
          <w:lang w:eastAsia="zh-CN"/>
        </w:rPr>
      </w:pPr>
      <w:bookmarkStart w:id="55" w:name="_Toc7869"/>
      <w:r>
        <w:rPr>
          <w:rFonts w:ascii="Times New Roman" w:hAnsi="Times New Roman" w:eastAsia="楷体_GB2312" w:cs="Times New Roman"/>
          <w:color w:val="auto"/>
          <w:sz w:val="32"/>
          <w:szCs w:val="32"/>
          <w:lang w:eastAsia="zh-CN"/>
        </w:rPr>
        <w:t>（四）科学有序开发地热能</w:t>
      </w:r>
      <w:bookmarkEnd w:id="55"/>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加大地热能开发利用研究，鼓励整装勘查水热型地热资源。鼓励水热型地热能梯级利用，以供热为主，提高地热资源利用效率。加强浅层地热场地勘查工作，推动浅层地热能开发利用及关键技术研究。到2025年，地热资源开发利用总量力争达到8000万立方米，供热面积</w:t>
      </w:r>
      <w:r>
        <w:rPr>
          <w:rFonts w:hint="eastAsia" w:eastAsia="仿宋_GB2312"/>
          <w:color w:val="auto"/>
          <w:kern w:val="32"/>
          <w:sz w:val="32"/>
          <w:szCs w:val="32"/>
          <w:lang w:eastAsia="zh-CN"/>
        </w:rPr>
        <w:t>达到</w:t>
      </w:r>
      <w:r>
        <w:rPr>
          <w:rFonts w:eastAsia="仿宋_GB2312"/>
          <w:color w:val="auto"/>
          <w:kern w:val="32"/>
          <w:sz w:val="32"/>
          <w:szCs w:val="32"/>
        </w:rPr>
        <w:t>6000万平方米。</w:t>
      </w:r>
    </w:p>
    <w:p>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color w:val="auto"/>
          <w:lang w:val="en-US" w:eastAsia="zh-CN"/>
        </w:rPr>
      </w:pPr>
      <w:r>
        <w:rPr>
          <w:rFonts w:hint="eastAsia"/>
          <w:color w:val="auto"/>
          <w:lang w:val="en-US" w:eastAsia="zh-CN"/>
        </w:rPr>
        <w:t>1.</w:t>
      </w:r>
      <w:r>
        <w:rPr>
          <w:color w:val="auto"/>
          <w:lang w:eastAsia="zh-CN"/>
        </w:rPr>
        <w:t>水热型地热能</w:t>
      </w:r>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开展未查明区域水热型地热资源勘查评价工作，增加地热资源储备，加强地下4000-6000米深度地热勘探与开采技术攻关，探寻深部热储。有序开发中深层水热型地热能，坚持“以灌定采、采灌平衡”，统筹做好资源保护，推广梯级利用技术，提高利用效率。推动水热型地热能供热纳入城镇基础设施建设，实施集中统一开发。</w:t>
      </w:r>
    </w:p>
    <w:p>
      <w:pPr>
        <w:pStyle w:val="4"/>
        <w:keepNext/>
        <w:keepLines/>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color w:val="auto"/>
          <w:lang w:val="en-US" w:eastAsia="zh-CN"/>
        </w:rPr>
      </w:pPr>
      <w:r>
        <w:rPr>
          <w:rFonts w:hint="eastAsia"/>
          <w:color w:val="auto"/>
          <w:lang w:val="en-US" w:eastAsia="zh-CN"/>
        </w:rPr>
        <w:t>2.</w:t>
      </w:r>
      <w:r>
        <w:rPr>
          <w:color w:val="auto"/>
          <w:lang w:eastAsia="zh-CN"/>
        </w:rPr>
        <w:t>浅层</w:t>
      </w:r>
      <w:r>
        <w:rPr>
          <w:rFonts w:ascii="Times New Roman" w:hAnsi="Times New Roman" w:cs="Times New Roman"/>
          <w:color w:val="auto"/>
          <w:lang w:eastAsia="zh-CN"/>
        </w:rPr>
        <w:t>地热能</w:t>
      </w:r>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加快浅层地热能推广应用。按照“因地制宜，集约开发，加强监管，注重环保”的原则，鼓励学校、医院、宾馆、饭店、写字楼等公共建筑以及新建住宅小区开发利用浅层地热能，满足自身供热、制冷和热水需求。</w:t>
      </w:r>
    </w:p>
    <w:p>
      <w:pPr>
        <w:spacing w:line="560" w:lineRule="exact"/>
        <w:ind w:firstLine="640" w:firstLineChars="200"/>
        <w:rPr>
          <w:rFonts w:ascii="Times New Roman" w:hAnsi="Times New Roman" w:eastAsia="楷体_GB2312" w:cs="Times New Roman"/>
          <w:color w:val="auto"/>
          <w:sz w:val="32"/>
          <w:szCs w:val="32"/>
          <w:lang w:eastAsia="zh-CN"/>
        </w:rPr>
      </w:pPr>
      <w:bookmarkStart w:id="56" w:name="_Toc10759"/>
      <w:r>
        <w:rPr>
          <w:rFonts w:ascii="Times New Roman" w:hAnsi="Times New Roman" w:eastAsia="楷体_GB2312" w:cs="Times New Roman"/>
          <w:color w:val="auto"/>
          <w:sz w:val="32"/>
          <w:szCs w:val="32"/>
          <w:lang w:eastAsia="zh-CN"/>
        </w:rPr>
        <w:t>（五）提高外调可再生能源电量比重</w:t>
      </w:r>
      <w:bookmarkEnd w:id="56"/>
    </w:p>
    <w:p>
      <w:pPr>
        <w:spacing w:line="560" w:lineRule="exact"/>
        <w:ind w:firstLine="640" w:firstLineChars="200"/>
        <w:rPr>
          <w:rFonts w:eastAsia="仿宋_GB2312"/>
          <w:color w:val="auto"/>
          <w:kern w:val="32"/>
          <w:sz w:val="32"/>
          <w:szCs w:val="32"/>
          <w:lang w:val="zh-CN"/>
        </w:rPr>
      </w:pPr>
      <w:r>
        <w:rPr>
          <w:rFonts w:hint="eastAsia" w:eastAsia="仿宋_GB2312"/>
          <w:color w:val="auto"/>
          <w:kern w:val="32"/>
          <w:sz w:val="32"/>
          <w:szCs w:val="32"/>
          <w:lang w:eastAsia="zh-CN"/>
        </w:rPr>
        <w:t>加快推动“外电入津”，</w:t>
      </w:r>
      <w:r>
        <w:rPr>
          <w:rFonts w:eastAsia="仿宋_GB2312"/>
          <w:color w:val="auto"/>
          <w:kern w:val="32"/>
          <w:sz w:val="32"/>
          <w:szCs w:val="32"/>
        </w:rPr>
        <w:t>扩大</w:t>
      </w:r>
      <w:r>
        <w:rPr>
          <w:rFonts w:eastAsia="仿宋_GB2312"/>
          <w:color w:val="auto"/>
          <w:kern w:val="32"/>
          <w:sz w:val="32"/>
          <w:szCs w:val="32"/>
          <w:lang w:val="zh-CN"/>
        </w:rPr>
        <w:t>区域外可再生能源电力消纳</w:t>
      </w:r>
      <w:r>
        <w:rPr>
          <w:rFonts w:eastAsia="仿宋_GB2312"/>
          <w:color w:val="auto"/>
          <w:kern w:val="32"/>
          <w:sz w:val="32"/>
          <w:szCs w:val="32"/>
        </w:rPr>
        <w:t>规模。推进新建天津北特高压输变电工程及天津南扩建工程</w:t>
      </w:r>
      <w:r>
        <w:rPr>
          <w:rFonts w:hint="eastAsia" w:eastAsia="仿宋_GB2312"/>
          <w:color w:val="auto"/>
          <w:kern w:val="32"/>
          <w:sz w:val="32"/>
          <w:szCs w:val="32"/>
          <w:lang w:eastAsia="zh-CN"/>
        </w:rPr>
        <w:t>加快实施</w:t>
      </w:r>
      <w:r>
        <w:rPr>
          <w:rFonts w:eastAsia="仿宋_GB2312"/>
          <w:color w:val="auto"/>
          <w:kern w:val="32"/>
          <w:sz w:val="32"/>
          <w:szCs w:val="32"/>
        </w:rPr>
        <w:t>，构建天津市“三通道两落点”特高压受电格局，拓宽新能源电力供给范围。</w:t>
      </w:r>
      <w:r>
        <w:rPr>
          <w:rFonts w:hint="eastAsia" w:ascii="Times New Roman" w:hAnsi="Times New Roman" w:eastAsia="仿宋_GB2312" w:cs="Times New Roman"/>
          <w:sz w:val="32"/>
          <w:szCs w:val="32"/>
          <w:lang w:val="en-US" w:eastAsia="zh-CN"/>
        </w:rPr>
        <w:t>在</w:t>
      </w:r>
      <w:r>
        <w:rPr>
          <w:rFonts w:hint="default" w:ascii="Times New Roman" w:hAnsi="Times New Roman" w:eastAsia="仿宋_GB2312" w:cs="Times New Roman"/>
          <w:sz w:val="32"/>
          <w:szCs w:val="32"/>
          <w:lang w:val="en-US" w:eastAsia="zh-CN"/>
        </w:rPr>
        <w:t>确保安全的前提下，充分利用外</w:t>
      </w:r>
      <w:r>
        <w:rPr>
          <w:rFonts w:hint="eastAsia" w:ascii="Times New Roman" w:hAnsi="Times New Roman" w:eastAsia="仿宋_GB2312" w:cs="Times New Roman"/>
          <w:sz w:val="32"/>
          <w:szCs w:val="32"/>
          <w:lang w:val="en-US" w:eastAsia="zh-CN"/>
        </w:rPr>
        <w:t>受电</w:t>
      </w:r>
      <w:r>
        <w:rPr>
          <w:rFonts w:hint="default" w:ascii="Times New Roman" w:hAnsi="Times New Roman" w:eastAsia="仿宋_GB2312" w:cs="Times New Roman"/>
          <w:sz w:val="32"/>
          <w:szCs w:val="32"/>
          <w:lang w:val="en-US" w:eastAsia="zh-CN"/>
        </w:rPr>
        <w:t>通道能力，最大限度</w:t>
      </w:r>
      <w:r>
        <w:rPr>
          <w:rFonts w:hint="eastAsia" w:ascii="Times New Roman" w:hAnsi="Times New Roman" w:eastAsia="仿宋_GB2312" w:cs="Times New Roman"/>
          <w:sz w:val="32"/>
          <w:szCs w:val="32"/>
          <w:lang w:val="en-US" w:eastAsia="zh-CN"/>
        </w:rPr>
        <w:t>接收</w:t>
      </w:r>
      <w:r>
        <w:rPr>
          <w:rFonts w:hint="default" w:ascii="Times New Roman" w:hAnsi="Times New Roman" w:eastAsia="仿宋_GB2312" w:cs="Times New Roman"/>
          <w:sz w:val="32"/>
          <w:szCs w:val="32"/>
          <w:lang w:val="en-US" w:eastAsia="zh-CN"/>
        </w:rPr>
        <w:t>可再生能源电量</w:t>
      </w:r>
      <w:r>
        <w:rPr>
          <w:rFonts w:hint="eastAsia" w:ascii="Times New Roman" w:hAnsi="Times New Roman" w:eastAsia="仿宋_GB2312" w:cs="Times New Roman"/>
          <w:sz w:val="32"/>
          <w:szCs w:val="32"/>
          <w:lang w:val="en-US" w:eastAsia="zh-CN"/>
        </w:rPr>
        <w:t>；进一步深化省间能源电力合作，推进山西、内蒙等能源富集省份可再生能源电力入津，提高外受电中可再生能源电力比重。</w:t>
      </w:r>
      <w:r>
        <w:rPr>
          <w:rFonts w:eastAsia="仿宋_GB2312"/>
          <w:color w:val="auto"/>
          <w:kern w:val="32"/>
          <w:sz w:val="32"/>
          <w:szCs w:val="32"/>
          <w:lang w:val="zh-CN"/>
        </w:rPr>
        <w:t>支持企业参与送端新能源基地项目建设，将更多优质新能源电力引入天津。</w:t>
      </w:r>
    </w:p>
    <w:p>
      <w:pPr>
        <w:spacing w:line="560" w:lineRule="exact"/>
        <w:ind w:firstLine="640" w:firstLineChars="200"/>
        <w:rPr>
          <w:rFonts w:ascii="Times New Roman" w:hAnsi="Times New Roman" w:eastAsia="楷体_GB2312" w:cs="Times New Roman"/>
          <w:color w:val="auto"/>
          <w:sz w:val="32"/>
          <w:szCs w:val="32"/>
          <w:lang w:eastAsia="zh-CN"/>
        </w:rPr>
      </w:pPr>
      <w:bookmarkStart w:id="57" w:name="_Toc12185"/>
      <w:r>
        <w:rPr>
          <w:rFonts w:ascii="Times New Roman" w:hAnsi="Times New Roman" w:eastAsia="楷体_GB2312" w:cs="Times New Roman"/>
          <w:color w:val="auto"/>
          <w:sz w:val="32"/>
          <w:szCs w:val="32"/>
          <w:lang w:eastAsia="zh-CN"/>
        </w:rPr>
        <w:t>（六）增强电网接纳可再生能源的能力</w:t>
      </w:r>
      <w:bookmarkEnd w:id="57"/>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加快适应可再生能源发展的电网规划、建设和改造，逐步完善主网架结构，推动构建新能源占比逐渐提高的新型电力系统。统筹高中压配电网协调发展，增强各级电网相互支撑能力，提升电网本质安全水平。积极应用自动化、智能化、现代信息通信等先进技术，进一步提升电网智能化水平，增强电网对可再生能源的接纳能力。推动存量可再生能源接网消纳，加快宁河区、滨海新区等局部电网消纳受限区域配套电网工程建设，支持可再生能源集中送出。提升电力系统综合调节能力，加快煤电机组升级改造，合理建设调峰电源，推动蓟州抽水蓄能电站项目前期工作。</w:t>
      </w:r>
    </w:p>
    <w:p>
      <w:pPr>
        <w:spacing w:line="560" w:lineRule="exact"/>
        <w:ind w:firstLine="640" w:firstLineChars="200"/>
        <w:rPr>
          <w:rFonts w:ascii="Times New Roman" w:hAnsi="Times New Roman" w:eastAsia="楷体_GB2312" w:cs="Times New Roman"/>
          <w:color w:val="auto"/>
          <w:sz w:val="32"/>
          <w:szCs w:val="32"/>
          <w:lang w:eastAsia="zh-CN"/>
        </w:rPr>
      </w:pPr>
      <w:bookmarkStart w:id="58" w:name="_Toc3391"/>
      <w:r>
        <w:rPr>
          <w:rFonts w:ascii="Times New Roman" w:hAnsi="Times New Roman" w:eastAsia="楷体_GB2312" w:cs="Times New Roman"/>
          <w:color w:val="auto"/>
          <w:sz w:val="32"/>
          <w:szCs w:val="32"/>
          <w:lang w:eastAsia="zh-CN"/>
        </w:rPr>
        <w:t>（七）促进可再生能源多方式灵活消纳</w:t>
      </w:r>
      <w:bookmarkEnd w:id="58"/>
    </w:p>
    <w:p>
      <w:pPr>
        <w:spacing w:line="560" w:lineRule="exact"/>
        <w:ind w:firstLine="640" w:firstLineChars="200"/>
        <w:rPr>
          <w:rFonts w:eastAsia="仿宋_GB2312"/>
          <w:color w:val="auto"/>
          <w:kern w:val="32"/>
          <w:sz w:val="32"/>
          <w:szCs w:val="32"/>
        </w:rPr>
      </w:pPr>
      <w:r>
        <w:rPr>
          <w:rFonts w:hint="eastAsia" w:ascii="Times New Roman" w:hAnsi="Times New Roman" w:eastAsia="仿宋_GB2312" w:cs="Times New Roman"/>
          <w:color w:val="auto"/>
          <w:sz w:val="32"/>
          <w:szCs w:val="32"/>
          <w:lang w:val="en-US" w:eastAsia="zh-CN"/>
        </w:rPr>
        <w:t>发挥电网促进可再生能源消纳的关键平台作用，</w:t>
      </w:r>
      <w:r>
        <w:rPr>
          <w:rFonts w:eastAsia="仿宋_GB2312"/>
          <w:color w:val="auto"/>
          <w:kern w:val="32"/>
          <w:sz w:val="32"/>
          <w:szCs w:val="32"/>
        </w:rPr>
        <w:t>落实可再生能源优先发电</w:t>
      </w:r>
      <w:r>
        <w:rPr>
          <w:rFonts w:hint="eastAsia" w:eastAsia="仿宋_GB2312"/>
          <w:color w:val="auto"/>
          <w:kern w:val="32"/>
          <w:sz w:val="32"/>
          <w:szCs w:val="32"/>
          <w:lang w:eastAsia="zh-CN"/>
        </w:rPr>
        <w:t>和优先调度政策。</w:t>
      </w:r>
      <w:r>
        <w:rPr>
          <w:rFonts w:eastAsia="仿宋_GB2312"/>
          <w:color w:val="auto"/>
          <w:kern w:val="32"/>
          <w:sz w:val="32"/>
          <w:szCs w:val="32"/>
        </w:rPr>
        <w:t>完善可再生能源电力消纳保障机制</w:t>
      </w:r>
      <w:r>
        <w:rPr>
          <w:rFonts w:hint="eastAsia" w:eastAsia="仿宋_GB2312"/>
          <w:color w:val="auto"/>
          <w:kern w:val="32"/>
          <w:sz w:val="32"/>
          <w:szCs w:val="32"/>
          <w:lang w:eastAsia="zh-CN"/>
        </w:rPr>
        <w:t>，</w:t>
      </w:r>
      <w:r>
        <w:rPr>
          <w:rFonts w:eastAsia="仿宋_GB2312"/>
          <w:color w:val="auto"/>
          <w:kern w:val="32"/>
          <w:sz w:val="32"/>
          <w:szCs w:val="32"/>
          <w:lang w:val="zh-CN"/>
        </w:rPr>
        <w:t>拓宽可再生能源消纳途径，</w:t>
      </w:r>
      <w:r>
        <w:rPr>
          <w:rFonts w:eastAsia="仿宋_GB2312"/>
          <w:color w:val="auto"/>
          <w:kern w:val="32"/>
          <w:sz w:val="32"/>
          <w:szCs w:val="32"/>
        </w:rPr>
        <w:t>基本实现</w:t>
      </w:r>
      <w:r>
        <w:rPr>
          <w:rFonts w:eastAsia="仿宋_GB2312"/>
          <w:color w:val="auto"/>
          <w:kern w:val="32"/>
          <w:sz w:val="32"/>
          <w:szCs w:val="32"/>
          <w:lang w:val="zh-CN"/>
        </w:rPr>
        <w:t>零弃</w:t>
      </w:r>
      <w:r>
        <w:rPr>
          <w:rFonts w:eastAsia="仿宋_GB2312"/>
          <w:color w:val="auto"/>
          <w:kern w:val="32"/>
          <w:sz w:val="32"/>
          <w:szCs w:val="32"/>
        </w:rPr>
        <w:t>风、弃光。鼓励可再生能源电力制氢、制冷、供热等，支持开展分布式发电市场化交易试点，实现可再生能源就近转化利用。结合园区、工业企业用能需求，推广以消纳可再生能源为主的微电网、局域网等新模式，促进可再生能源灵活消纳。加快可再生能源融入城市热网，扩大地热、生物质等可再生能源供热规模，推动多种形式的绿色电力采暖，实现供热多能融</w:t>
      </w:r>
      <w:r>
        <w:rPr>
          <w:rFonts w:hint="eastAsia" w:eastAsia="仿宋_GB2312"/>
          <w:color w:val="auto"/>
          <w:kern w:val="32"/>
          <w:sz w:val="32"/>
          <w:szCs w:val="32"/>
          <w:lang w:eastAsia="zh-CN"/>
        </w:rPr>
        <w:t>合</w:t>
      </w:r>
      <w:r>
        <w:rPr>
          <w:rFonts w:eastAsia="仿宋_GB2312"/>
          <w:color w:val="auto"/>
          <w:kern w:val="32"/>
          <w:sz w:val="32"/>
          <w:szCs w:val="32"/>
        </w:rPr>
        <w:t>发展。</w:t>
      </w:r>
    </w:p>
    <w:p>
      <w:pPr>
        <w:spacing w:line="560" w:lineRule="exact"/>
        <w:ind w:firstLine="640" w:firstLineChars="200"/>
        <w:rPr>
          <w:rFonts w:ascii="Times New Roman" w:hAnsi="Times New Roman" w:eastAsia="楷体_GB2312" w:cs="Times New Roman"/>
          <w:color w:val="auto"/>
          <w:sz w:val="32"/>
          <w:szCs w:val="32"/>
          <w:lang w:eastAsia="zh-CN"/>
        </w:rPr>
      </w:pPr>
      <w:bookmarkStart w:id="59" w:name="_Toc15147"/>
      <w:r>
        <w:rPr>
          <w:rFonts w:ascii="Times New Roman" w:hAnsi="Times New Roman" w:eastAsia="楷体_GB2312" w:cs="Times New Roman"/>
          <w:color w:val="auto"/>
          <w:sz w:val="32"/>
          <w:szCs w:val="32"/>
          <w:lang w:eastAsia="zh-CN"/>
        </w:rPr>
        <w:t>（八）完善可再生能源市场化交易机制</w:t>
      </w:r>
      <w:bookmarkEnd w:id="59"/>
    </w:p>
    <w:p>
      <w:pPr>
        <w:spacing w:line="560" w:lineRule="exact"/>
        <w:ind w:firstLine="640" w:firstLineChars="200"/>
        <w:rPr>
          <w:rFonts w:eastAsia="仿宋_GB2312"/>
          <w:color w:val="auto"/>
          <w:kern w:val="32"/>
          <w:sz w:val="32"/>
          <w:szCs w:val="32"/>
          <w:lang w:val="zh-CN"/>
        </w:rPr>
      </w:pPr>
      <w:r>
        <w:rPr>
          <w:rFonts w:eastAsia="仿宋_GB2312"/>
          <w:color w:val="auto"/>
          <w:kern w:val="32"/>
          <w:sz w:val="32"/>
          <w:szCs w:val="32"/>
          <w:lang w:val="zh-CN"/>
        </w:rPr>
        <w:t>积极推动可再生能源参与电力市场化交易，加快完善交易规则，破除市场壁垒，形成适应高比例可再生能源、充分反映可再生能源环境价值、与传统电源公平竞争的市场机制。鼓励可再生能源投资企业与电力消纳责任主体签订多年长期购售电协议，支持具备条件的电力用户直接参与可再生能源跨省（区）交易。</w:t>
      </w:r>
      <w:r>
        <w:rPr>
          <w:rFonts w:hint="eastAsia" w:ascii="Times New Roman" w:hAnsi="Times New Roman" w:eastAsia="仿宋_GB2312" w:cs="Times New Roman"/>
          <w:sz w:val="32"/>
          <w:szCs w:val="32"/>
          <w:lang w:val="en-US" w:eastAsia="zh-CN"/>
        </w:rPr>
        <w:t>结合现货市场建设，完善可再生能源参与机制，充分发挥市场机制作用。推动完善电力辅助服务补偿和分摊机制，促进区域电网调峰能力建设和资源共享。</w:t>
      </w:r>
      <w:r>
        <w:rPr>
          <w:rFonts w:eastAsia="仿宋_GB2312"/>
          <w:color w:val="auto"/>
          <w:kern w:val="32"/>
          <w:sz w:val="32"/>
          <w:szCs w:val="32"/>
          <w:lang w:val="zh-CN"/>
        </w:rPr>
        <w:t>完善分布式发电市场化交易机制，规范交易流程，扩大交易规模。完善绿色电力证书机制，鼓励平价项目积极开展绿证交易，做好绿证交易与碳交易的衔接，进一步体现可再生能源的生态环境价值。</w:t>
      </w:r>
    </w:p>
    <w:p>
      <w:pPr>
        <w:spacing w:line="560" w:lineRule="exact"/>
        <w:ind w:firstLine="640" w:firstLineChars="200"/>
        <w:rPr>
          <w:rFonts w:ascii="Times New Roman" w:hAnsi="Times New Roman" w:eastAsia="楷体_GB2312" w:cs="Times New Roman"/>
          <w:color w:val="auto"/>
          <w:sz w:val="32"/>
          <w:szCs w:val="32"/>
          <w:lang w:eastAsia="zh-CN"/>
        </w:rPr>
      </w:pPr>
      <w:bookmarkStart w:id="60" w:name="_Toc26368"/>
      <w:r>
        <w:rPr>
          <w:rFonts w:ascii="Times New Roman" w:hAnsi="Times New Roman" w:eastAsia="楷体_GB2312" w:cs="Times New Roman"/>
          <w:color w:val="auto"/>
          <w:sz w:val="32"/>
          <w:szCs w:val="32"/>
          <w:lang w:eastAsia="zh-CN"/>
        </w:rPr>
        <w:t>（九）推进可再生能源产业优化升级</w:t>
      </w:r>
      <w:bookmarkEnd w:id="60"/>
    </w:p>
    <w:p>
      <w:pPr>
        <w:spacing w:line="560" w:lineRule="exact"/>
        <w:ind w:firstLine="640" w:firstLineChars="200"/>
        <w:rPr>
          <w:rFonts w:eastAsia="仿宋_GB2312"/>
          <w:color w:val="auto"/>
          <w:kern w:val="32"/>
          <w:sz w:val="32"/>
          <w:szCs w:val="32"/>
          <w:lang w:val="zh-CN"/>
        </w:rPr>
      </w:pPr>
      <w:r>
        <w:rPr>
          <w:rFonts w:eastAsia="仿宋_GB2312"/>
          <w:color w:val="auto"/>
          <w:kern w:val="32"/>
          <w:sz w:val="32"/>
          <w:szCs w:val="32"/>
          <w:lang w:val="zh-CN"/>
        </w:rPr>
        <w:t>发挥大型企业龙头带动作用，大力引进高端项目、技术、人才等战略资源，重点发展光伏、风电装备制造等新能源产业，提升核心技术竞争力。</w:t>
      </w:r>
      <w:r>
        <w:rPr>
          <w:rFonts w:hint="eastAsia" w:eastAsia="仿宋_GB2312"/>
          <w:color w:val="auto"/>
          <w:kern w:val="32"/>
          <w:sz w:val="32"/>
          <w:szCs w:val="32"/>
          <w:lang w:val="zh-CN"/>
        </w:rPr>
        <w:t>加强可再生能源监测、预测技术研发应用，提升清洁能源科技创新能力。</w:t>
      </w:r>
      <w:r>
        <w:rPr>
          <w:rFonts w:eastAsia="仿宋_GB2312"/>
          <w:color w:val="auto"/>
          <w:kern w:val="32"/>
          <w:sz w:val="32"/>
          <w:szCs w:val="32"/>
          <w:lang w:val="zh-CN"/>
        </w:rPr>
        <w:t>加快高效太阳能超薄硅单晶片智慧工厂、3GW高效叠瓦太阳能电池组件项目基地建设，形成行业优势产能，推动产业链向高端化、智能化、绿色化发展。加强风电机组及关键零部件生产制造，强化集研发设计、智能制造、工程总承包、运维服务等系统集成的风能全产业链竞争优势。加大可再生能源产品和技术的推广和示范应用，</w:t>
      </w:r>
      <w:r>
        <w:rPr>
          <w:rFonts w:eastAsia="仿宋_GB2312"/>
          <w:color w:val="auto"/>
          <w:kern w:val="32"/>
          <w:sz w:val="32"/>
          <w:szCs w:val="32"/>
        </w:rPr>
        <w:t>推动工程研究中心、企业技术中心、第三方权威检验检测机构建设，</w:t>
      </w:r>
      <w:r>
        <w:rPr>
          <w:rFonts w:eastAsia="仿宋_GB2312"/>
          <w:color w:val="auto"/>
          <w:kern w:val="32"/>
          <w:sz w:val="32"/>
          <w:szCs w:val="32"/>
          <w:lang w:val="zh-CN"/>
        </w:rPr>
        <w:t>打造可再生能源产业聚集区，</w:t>
      </w:r>
      <w:r>
        <w:rPr>
          <w:rFonts w:eastAsia="仿宋_GB2312"/>
          <w:color w:val="auto"/>
          <w:kern w:val="32"/>
          <w:sz w:val="32"/>
          <w:szCs w:val="32"/>
        </w:rPr>
        <w:t>不断壮大产业集群</w:t>
      </w:r>
      <w:r>
        <w:rPr>
          <w:rFonts w:eastAsia="仿宋_GB2312"/>
          <w:color w:val="auto"/>
          <w:kern w:val="32"/>
          <w:sz w:val="32"/>
          <w:szCs w:val="32"/>
          <w:lang w:val="zh-CN"/>
        </w:rPr>
        <w:t>。</w:t>
      </w:r>
    </w:p>
    <w:p>
      <w:pPr>
        <w:spacing w:line="560" w:lineRule="exact"/>
        <w:ind w:firstLine="640" w:firstLineChars="200"/>
        <w:rPr>
          <w:rFonts w:ascii="Times New Roman" w:hAnsi="Times New Roman" w:eastAsia="楷体_GB2312" w:cs="Times New Roman"/>
          <w:color w:val="auto"/>
          <w:sz w:val="32"/>
          <w:szCs w:val="32"/>
          <w:lang w:eastAsia="zh-CN"/>
        </w:rPr>
      </w:pPr>
      <w:bookmarkStart w:id="61" w:name="_Toc25635"/>
      <w:r>
        <w:rPr>
          <w:rFonts w:ascii="Times New Roman" w:hAnsi="Times New Roman" w:eastAsia="楷体_GB2312" w:cs="Times New Roman"/>
          <w:color w:val="auto"/>
          <w:sz w:val="32"/>
          <w:szCs w:val="32"/>
          <w:lang w:eastAsia="zh-CN"/>
        </w:rPr>
        <w:t>（十）创新可再生能源发展方式</w:t>
      </w:r>
      <w:bookmarkEnd w:id="61"/>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推动储能技术应用，推广“可再生能源+储能”</w:t>
      </w:r>
      <w:r>
        <w:rPr>
          <w:rFonts w:hint="eastAsia" w:eastAsia="仿宋_GB2312"/>
          <w:color w:val="auto"/>
          <w:kern w:val="32"/>
          <w:sz w:val="32"/>
          <w:szCs w:val="32"/>
          <w:lang w:eastAsia="zh-CN"/>
        </w:rPr>
        <w:t>模式</w:t>
      </w:r>
      <w:r>
        <w:rPr>
          <w:rFonts w:eastAsia="仿宋_GB2312"/>
          <w:color w:val="auto"/>
          <w:kern w:val="32"/>
          <w:sz w:val="32"/>
          <w:szCs w:val="32"/>
        </w:rPr>
        <w:t>，新增集中式风电、光伏发电项目原则上应配套建设一定比例储能设施</w:t>
      </w:r>
      <w:r>
        <w:rPr>
          <w:rFonts w:hint="eastAsia" w:eastAsia="仿宋_GB2312"/>
          <w:color w:val="auto"/>
          <w:kern w:val="32"/>
          <w:sz w:val="32"/>
          <w:szCs w:val="32"/>
          <w:lang w:eastAsia="zh-CN"/>
        </w:rPr>
        <w:t>，力争储能装机规模达到</w:t>
      </w:r>
      <w:r>
        <w:rPr>
          <w:rFonts w:hint="eastAsia" w:eastAsia="仿宋_GB2312"/>
          <w:color w:val="auto"/>
          <w:kern w:val="32"/>
          <w:sz w:val="32"/>
          <w:szCs w:val="32"/>
          <w:lang w:val="en-US" w:eastAsia="zh-CN"/>
        </w:rPr>
        <w:t>50万千瓦。</w:t>
      </w:r>
      <w:r>
        <w:rPr>
          <w:rFonts w:eastAsia="仿宋_GB2312"/>
          <w:color w:val="auto"/>
          <w:kern w:val="32"/>
          <w:sz w:val="32"/>
          <w:szCs w:val="32"/>
        </w:rPr>
        <w:t>推广智慧能源小镇技术，推动可再生能源设施数字化、智能化升级，建设滨海能源互联网示范区。复制推广“零碳小屋”模式，建设生态城公屋展示中心零能耗建筑，鼓励工业企业、园区、房地产开发地块等引入“零碳小屋”理念，扩大示范效应。大力发展综合能源系统，加快可再生能源和常规能源智能融合发展，积极发展源网荷储一体化和多能互补，支持可再生能源区域微网建设，实现资源优化配置与高效供给。</w:t>
      </w:r>
    </w:p>
    <w:bookmarkEnd w:id="51"/>
    <w:bookmarkEnd w:id="52"/>
    <w:p>
      <w:pPr>
        <w:spacing w:line="560" w:lineRule="exact"/>
        <w:ind w:firstLine="640" w:firstLineChars="200"/>
        <w:rPr>
          <w:rStyle w:val="38"/>
          <w:color w:val="auto"/>
        </w:rPr>
      </w:pPr>
      <w:bookmarkStart w:id="62" w:name="_Toc26812"/>
      <w:bookmarkStart w:id="63" w:name="_Toc16797"/>
      <w:bookmarkStart w:id="64" w:name="_Toc18050"/>
      <w:r>
        <w:rPr>
          <w:rStyle w:val="38"/>
          <w:color w:val="auto"/>
        </w:rPr>
        <w:t>五、保障措施</w:t>
      </w:r>
      <w:bookmarkEnd w:id="62"/>
      <w:bookmarkEnd w:id="63"/>
    </w:p>
    <w:bookmarkEnd w:id="64"/>
    <w:p>
      <w:pPr>
        <w:spacing w:line="560" w:lineRule="exact"/>
        <w:ind w:firstLine="640" w:firstLineChars="200"/>
        <w:rPr>
          <w:rFonts w:ascii="Times New Roman" w:hAnsi="Times New Roman" w:eastAsia="楷体_GB2312" w:cs="Times New Roman"/>
          <w:color w:val="auto"/>
          <w:sz w:val="32"/>
          <w:szCs w:val="32"/>
          <w:lang w:val="en-US" w:eastAsia="zh-CN"/>
        </w:rPr>
      </w:pPr>
      <w:bookmarkStart w:id="65" w:name="_Toc18030"/>
      <w:bookmarkStart w:id="66" w:name="_Toc28405"/>
      <w:bookmarkStart w:id="67" w:name="_Toc16645"/>
      <w:bookmarkStart w:id="68" w:name="_Toc16129"/>
      <w:r>
        <w:rPr>
          <w:rFonts w:ascii="Times New Roman" w:hAnsi="Times New Roman" w:eastAsia="楷体_GB2312" w:cs="Times New Roman"/>
          <w:color w:val="auto"/>
          <w:sz w:val="32"/>
          <w:szCs w:val="32"/>
          <w:lang w:eastAsia="zh-CN"/>
        </w:rPr>
        <w:t>（一）做好规划衔接，</w:t>
      </w:r>
      <w:bookmarkEnd w:id="65"/>
      <w:bookmarkEnd w:id="66"/>
      <w:bookmarkEnd w:id="67"/>
      <w:r>
        <w:rPr>
          <w:rFonts w:ascii="Times New Roman" w:hAnsi="Times New Roman" w:eastAsia="楷体_GB2312" w:cs="Times New Roman"/>
          <w:color w:val="auto"/>
          <w:sz w:val="32"/>
          <w:szCs w:val="32"/>
          <w:lang w:eastAsia="zh-CN"/>
        </w:rPr>
        <w:t>形成工作合力</w:t>
      </w:r>
      <w:bookmarkEnd w:id="68"/>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加强本规划与国家可再生能源规划</w:t>
      </w:r>
      <w:r>
        <w:rPr>
          <w:rFonts w:hint="eastAsia" w:eastAsia="仿宋_GB2312"/>
          <w:color w:val="auto"/>
          <w:kern w:val="32"/>
          <w:sz w:val="32"/>
          <w:szCs w:val="32"/>
          <w:lang w:eastAsia="zh-CN"/>
        </w:rPr>
        <w:t>的</w:t>
      </w:r>
      <w:r>
        <w:rPr>
          <w:rFonts w:eastAsia="仿宋_GB2312"/>
          <w:color w:val="auto"/>
          <w:kern w:val="32"/>
          <w:sz w:val="32"/>
          <w:szCs w:val="32"/>
        </w:rPr>
        <w:t>纵向衔接，确保目标制定科学合理</w:t>
      </w:r>
      <w:r>
        <w:rPr>
          <w:rFonts w:hint="eastAsia" w:eastAsia="仿宋_GB2312"/>
          <w:color w:val="auto"/>
          <w:kern w:val="32"/>
          <w:sz w:val="32"/>
          <w:szCs w:val="32"/>
          <w:lang w:eastAsia="zh-CN"/>
        </w:rPr>
        <w:t>，</w:t>
      </w:r>
      <w:r>
        <w:rPr>
          <w:rFonts w:eastAsia="仿宋_GB2312"/>
          <w:color w:val="auto"/>
          <w:kern w:val="32"/>
          <w:sz w:val="32"/>
          <w:szCs w:val="32"/>
        </w:rPr>
        <w:t>任务实施规范有序。加强本规划与经济社会发展、城乡建设、土地利用、环境保护等相关领域规划的横向衔接，确保规划具备可操作性。建立主管部门统筹协调、相关部门积极配合的工作机制，形成合力，共同推动规划实施。各区依照本规划内容，制定所属区可再生能源发展规划或将可再生能源项目建设纳入国土空间规划，做好统筹布局。</w:t>
      </w:r>
    </w:p>
    <w:p>
      <w:pPr>
        <w:spacing w:line="560" w:lineRule="exact"/>
        <w:ind w:firstLine="640" w:firstLineChars="200"/>
        <w:rPr>
          <w:rFonts w:ascii="Times New Roman" w:hAnsi="Times New Roman" w:eastAsia="楷体_GB2312" w:cs="Times New Roman"/>
          <w:color w:val="auto"/>
          <w:sz w:val="32"/>
          <w:szCs w:val="32"/>
          <w:lang w:eastAsia="zh-CN"/>
        </w:rPr>
      </w:pPr>
      <w:bookmarkStart w:id="69" w:name="_Toc12255"/>
      <w:r>
        <w:rPr>
          <w:rFonts w:ascii="Times New Roman" w:hAnsi="Times New Roman" w:eastAsia="楷体_GB2312" w:cs="Times New Roman"/>
          <w:color w:val="auto"/>
          <w:sz w:val="32"/>
          <w:szCs w:val="32"/>
          <w:lang w:eastAsia="zh-CN"/>
        </w:rPr>
        <w:t>（二）加大金融支持，完善政策体系</w:t>
      </w:r>
      <w:bookmarkEnd w:id="69"/>
    </w:p>
    <w:p>
      <w:pPr>
        <w:spacing w:line="560" w:lineRule="exact"/>
        <w:ind w:firstLine="640" w:firstLineChars="200"/>
        <w:rPr>
          <w:rFonts w:eastAsia="仿宋_GB2312"/>
          <w:color w:val="auto"/>
          <w:kern w:val="32"/>
          <w:sz w:val="32"/>
          <w:szCs w:val="32"/>
        </w:rPr>
      </w:pPr>
      <w:r>
        <w:rPr>
          <w:rFonts w:eastAsia="仿宋_GB2312"/>
          <w:color w:val="auto"/>
          <w:kern w:val="32"/>
          <w:sz w:val="32"/>
          <w:szCs w:val="32"/>
        </w:rPr>
        <w:t>加大融资、财税等方面支持力度，落实可再生能源税收减免等激励措施，完善可再生能源项目建设投融资机制，探索多元化融资渠道。丰富绿色金融产品，实施促进可再生能源发展的绿色保险、绿色债券及信贷政策。积极开展可再生能源金融创新服务试点，鼓励金融机构、企业等设立可再生能源发展基金，支持可再生能源相关产业发展。</w:t>
      </w:r>
    </w:p>
    <w:p>
      <w:pPr>
        <w:spacing w:line="560" w:lineRule="exact"/>
        <w:ind w:firstLine="640" w:firstLineChars="200"/>
        <w:rPr>
          <w:rFonts w:ascii="Times New Roman" w:hAnsi="Times New Roman" w:eastAsia="楷体_GB2312" w:cs="Times New Roman"/>
          <w:color w:val="auto"/>
          <w:sz w:val="32"/>
          <w:szCs w:val="32"/>
          <w:lang w:eastAsia="zh-CN"/>
        </w:rPr>
      </w:pPr>
      <w:r>
        <w:rPr>
          <w:rFonts w:ascii="Times New Roman" w:hAnsi="Times New Roman" w:eastAsia="楷体_GB2312" w:cs="Times New Roman"/>
          <w:color w:val="auto"/>
          <w:sz w:val="32"/>
          <w:szCs w:val="32"/>
          <w:lang w:eastAsia="zh-CN"/>
        </w:rPr>
        <w:t>（三）加强监督管理，</w:t>
      </w:r>
      <w:r>
        <w:rPr>
          <w:rFonts w:hint="eastAsia" w:ascii="Times New Roman" w:hAnsi="Times New Roman" w:eastAsia="楷体_GB2312" w:cs="Times New Roman"/>
          <w:color w:val="auto"/>
          <w:sz w:val="32"/>
          <w:szCs w:val="32"/>
          <w:lang w:eastAsia="zh-CN"/>
        </w:rPr>
        <w:t>规范开发秩序</w:t>
      </w:r>
    </w:p>
    <w:p>
      <w:pPr>
        <w:spacing w:line="560" w:lineRule="exact"/>
        <w:ind w:firstLine="640" w:firstLineChars="200"/>
        <w:rPr>
          <w:rFonts w:ascii="Times New Roman" w:hAnsi="Times New Roman" w:eastAsia="仿宋_GB2312" w:cs="Times New Roman"/>
          <w:color w:val="auto"/>
          <w:kern w:val="32"/>
          <w:sz w:val="32"/>
          <w:szCs w:val="32"/>
        </w:rPr>
      </w:pPr>
      <w:bookmarkStart w:id="70" w:name="_Toc25253"/>
      <w:r>
        <w:rPr>
          <w:rFonts w:hint="eastAsia" w:ascii="Times New Roman" w:hAnsi="Times New Roman" w:eastAsia="仿宋_GB2312" w:cs="Times New Roman"/>
          <w:color w:val="auto"/>
          <w:kern w:val="32"/>
          <w:sz w:val="32"/>
          <w:szCs w:val="32"/>
          <w:lang w:eastAsia="zh-CN"/>
        </w:rPr>
        <w:t>深化</w:t>
      </w:r>
      <w:r>
        <w:rPr>
          <w:rFonts w:ascii="Times New Roman" w:hAnsi="Times New Roman" w:eastAsia="仿宋_GB2312" w:cs="Times New Roman"/>
          <w:color w:val="auto"/>
          <w:kern w:val="32"/>
          <w:sz w:val="32"/>
          <w:szCs w:val="32"/>
        </w:rPr>
        <w:t>“放管服”改革，调动各类市场主体的积极性，</w:t>
      </w:r>
      <w:r>
        <w:rPr>
          <w:rFonts w:hint="eastAsia" w:ascii="Times New Roman" w:hAnsi="Times New Roman" w:eastAsia="仿宋_GB2312" w:cs="Times New Roman"/>
          <w:color w:val="auto"/>
          <w:kern w:val="32"/>
          <w:sz w:val="32"/>
          <w:szCs w:val="32"/>
          <w:lang w:eastAsia="zh-CN"/>
        </w:rPr>
        <w:t>营造公平开放、充分竞争的市场环境。</w:t>
      </w:r>
      <w:r>
        <w:rPr>
          <w:rFonts w:ascii="Times New Roman" w:hAnsi="Times New Roman" w:eastAsia="仿宋_GB2312" w:cs="Times New Roman"/>
          <w:color w:val="auto"/>
          <w:kern w:val="32"/>
          <w:sz w:val="32"/>
          <w:szCs w:val="32"/>
        </w:rPr>
        <w:t>规范</w:t>
      </w:r>
      <w:r>
        <w:rPr>
          <w:rFonts w:hint="eastAsia" w:ascii="Times New Roman" w:hAnsi="Times New Roman" w:eastAsia="仿宋_GB2312" w:cs="Times New Roman"/>
          <w:color w:val="auto"/>
          <w:kern w:val="32"/>
          <w:sz w:val="32"/>
          <w:szCs w:val="32"/>
          <w:lang w:eastAsia="zh-CN"/>
        </w:rPr>
        <w:t>投资开发秩序</w:t>
      </w:r>
      <w:r>
        <w:rPr>
          <w:rFonts w:ascii="Times New Roman" w:hAnsi="Times New Roman" w:eastAsia="仿宋_GB2312" w:cs="Times New Roman"/>
          <w:color w:val="auto"/>
          <w:kern w:val="32"/>
          <w:sz w:val="32"/>
          <w:szCs w:val="32"/>
        </w:rPr>
        <w:t>，研究制定</w:t>
      </w:r>
      <w:r>
        <w:rPr>
          <w:rFonts w:hint="eastAsia" w:ascii="Times New Roman" w:hAnsi="Times New Roman" w:eastAsia="仿宋_GB2312" w:cs="Times New Roman"/>
          <w:color w:val="auto"/>
          <w:kern w:val="32"/>
          <w:sz w:val="32"/>
          <w:szCs w:val="32"/>
          <w:lang w:eastAsia="zh-CN"/>
        </w:rPr>
        <w:t>加强可再生能源</w:t>
      </w:r>
      <w:r>
        <w:rPr>
          <w:rFonts w:ascii="Times New Roman" w:hAnsi="Times New Roman" w:eastAsia="仿宋_GB2312" w:cs="Times New Roman"/>
          <w:color w:val="auto"/>
          <w:kern w:val="32"/>
          <w:sz w:val="32"/>
          <w:szCs w:val="32"/>
        </w:rPr>
        <w:t>管理</w:t>
      </w:r>
      <w:r>
        <w:rPr>
          <w:rFonts w:hint="eastAsia" w:ascii="Times New Roman" w:hAnsi="Times New Roman" w:eastAsia="仿宋_GB2312" w:cs="Times New Roman"/>
          <w:color w:val="auto"/>
          <w:kern w:val="32"/>
          <w:sz w:val="32"/>
          <w:szCs w:val="32"/>
          <w:lang w:eastAsia="zh-CN"/>
        </w:rPr>
        <w:t>的</w:t>
      </w:r>
      <w:r>
        <w:rPr>
          <w:rFonts w:ascii="Times New Roman" w:hAnsi="Times New Roman" w:eastAsia="仿宋_GB2312" w:cs="Times New Roman"/>
          <w:color w:val="auto"/>
          <w:kern w:val="32"/>
          <w:sz w:val="32"/>
          <w:szCs w:val="32"/>
        </w:rPr>
        <w:t>有关措施，</w:t>
      </w:r>
      <w:r>
        <w:rPr>
          <w:rFonts w:hint="eastAsia" w:eastAsia="仿宋_GB2312"/>
          <w:color w:val="auto"/>
          <w:kern w:val="32"/>
          <w:sz w:val="32"/>
          <w:szCs w:val="32"/>
          <w:lang w:eastAsia="zh-CN"/>
        </w:rPr>
        <w:t>将储能和调峰能力与新增可再生能源项目挂钩，</w:t>
      </w:r>
      <w:r>
        <w:rPr>
          <w:rFonts w:ascii="Times New Roman" w:hAnsi="Times New Roman" w:eastAsia="仿宋_GB2312" w:cs="Times New Roman"/>
          <w:color w:val="auto"/>
          <w:kern w:val="32"/>
          <w:sz w:val="32"/>
          <w:szCs w:val="32"/>
        </w:rPr>
        <w:t>通过竞争</w:t>
      </w:r>
      <w:r>
        <w:rPr>
          <w:rFonts w:hint="eastAsia" w:ascii="Times New Roman" w:hAnsi="Times New Roman" w:eastAsia="仿宋_GB2312" w:cs="Times New Roman"/>
          <w:color w:val="auto"/>
          <w:kern w:val="32"/>
          <w:sz w:val="32"/>
          <w:szCs w:val="32"/>
          <w:lang w:eastAsia="zh-CN"/>
        </w:rPr>
        <w:t>性</w:t>
      </w:r>
      <w:r>
        <w:rPr>
          <w:rFonts w:ascii="Times New Roman" w:hAnsi="Times New Roman" w:eastAsia="仿宋_GB2312" w:cs="Times New Roman"/>
          <w:color w:val="auto"/>
          <w:kern w:val="32"/>
          <w:sz w:val="32"/>
          <w:szCs w:val="32"/>
        </w:rPr>
        <w:t>配置等方式，</w:t>
      </w:r>
      <w:r>
        <w:rPr>
          <w:rFonts w:hint="eastAsia" w:ascii="Times New Roman" w:hAnsi="Times New Roman" w:eastAsia="仿宋_GB2312" w:cs="Times New Roman"/>
          <w:color w:val="auto"/>
          <w:kern w:val="32"/>
          <w:sz w:val="32"/>
          <w:szCs w:val="32"/>
          <w:lang w:eastAsia="zh-CN"/>
        </w:rPr>
        <w:t>优化资源开发，</w:t>
      </w:r>
      <w:r>
        <w:rPr>
          <w:rFonts w:ascii="Times New Roman" w:hAnsi="Times New Roman" w:eastAsia="仿宋_GB2312" w:cs="Times New Roman"/>
          <w:color w:val="auto"/>
          <w:kern w:val="32"/>
          <w:sz w:val="32"/>
          <w:szCs w:val="32"/>
        </w:rPr>
        <w:t>防范随意圈占资源、圈而不建、无序扩张，保持项目开发的连续性。</w:t>
      </w:r>
      <w:r>
        <w:rPr>
          <w:rFonts w:hint="eastAsia" w:ascii="Times New Roman" w:hAnsi="Times New Roman" w:eastAsia="仿宋_GB2312" w:cs="Times New Roman"/>
          <w:color w:val="auto"/>
          <w:kern w:val="32"/>
          <w:sz w:val="32"/>
          <w:szCs w:val="32"/>
          <w:lang w:eastAsia="zh-CN"/>
        </w:rPr>
        <w:t>强化</w:t>
      </w:r>
      <w:r>
        <w:rPr>
          <w:rFonts w:ascii="Times New Roman" w:hAnsi="Times New Roman" w:eastAsia="仿宋_GB2312" w:cs="Times New Roman"/>
          <w:color w:val="auto"/>
          <w:kern w:val="32"/>
          <w:sz w:val="32"/>
          <w:szCs w:val="32"/>
        </w:rPr>
        <w:t>事中事后监管</w:t>
      </w:r>
      <w:r>
        <w:rPr>
          <w:rFonts w:hint="eastAsia" w:ascii="Times New Roman" w:hAnsi="Times New Roman" w:eastAsia="仿宋_GB2312" w:cs="Times New Roman"/>
          <w:color w:val="auto"/>
          <w:kern w:val="32"/>
          <w:sz w:val="32"/>
          <w:szCs w:val="32"/>
          <w:lang w:eastAsia="zh-CN"/>
        </w:rPr>
        <w:t>，实施</w:t>
      </w:r>
      <w:r>
        <w:rPr>
          <w:rFonts w:ascii="Times New Roman" w:hAnsi="Times New Roman" w:eastAsia="仿宋_GB2312" w:cs="Times New Roman"/>
          <w:color w:val="auto"/>
          <w:kern w:val="32"/>
          <w:sz w:val="32"/>
          <w:szCs w:val="32"/>
        </w:rPr>
        <w:t>项目动态管理</w:t>
      </w:r>
      <w:r>
        <w:rPr>
          <w:rFonts w:hint="eastAsia" w:ascii="Times New Roman" w:hAnsi="Times New Roman" w:eastAsia="仿宋_GB2312" w:cs="Times New Roman"/>
          <w:color w:val="auto"/>
          <w:kern w:val="32"/>
          <w:sz w:val="32"/>
          <w:szCs w:val="32"/>
          <w:lang w:eastAsia="zh-CN"/>
        </w:rPr>
        <w:t>，</w:t>
      </w:r>
      <w:r>
        <w:rPr>
          <w:rFonts w:ascii="Times New Roman" w:hAnsi="Times New Roman" w:eastAsia="仿宋_GB2312" w:cs="Times New Roman"/>
          <w:color w:val="auto"/>
          <w:kern w:val="32"/>
          <w:sz w:val="32"/>
          <w:szCs w:val="32"/>
        </w:rPr>
        <w:t>建立退出机制，对于</w:t>
      </w:r>
      <w:r>
        <w:rPr>
          <w:rFonts w:hint="eastAsia" w:ascii="Times New Roman" w:hAnsi="Times New Roman" w:eastAsia="仿宋_GB2312" w:cs="Times New Roman"/>
          <w:color w:val="auto"/>
          <w:kern w:val="32"/>
          <w:sz w:val="32"/>
          <w:szCs w:val="32"/>
          <w:lang w:eastAsia="zh-CN"/>
        </w:rPr>
        <w:t>批而不建、进度迟缓等</w:t>
      </w:r>
      <w:r>
        <w:rPr>
          <w:rFonts w:ascii="Times New Roman" w:hAnsi="Times New Roman" w:eastAsia="仿宋_GB2312" w:cs="Times New Roman"/>
          <w:color w:val="auto"/>
          <w:kern w:val="32"/>
          <w:sz w:val="32"/>
          <w:szCs w:val="32"/>
        </w:rPr>
        <w:t>项目及时</w:t>
      </w:r>
      <w:r>
        <w:rPr>
          <w:rFonts w:hint="eastAsia" w:ascii="Times New Roman" w:hAnsi="Times New Roman" w:eastAsia="仿宋_GB2312" w:cs="Times New Roman"/>
          <w:color w:val="auto"/>
          <w:kern w:val="32"/>
          <w:sz w:val="32"/>
          <w:szCs w:val="32"/>
          <w:lang w:eastAsia="zh-CN"/>
        </w:rPr>
        <w:t>清理，</w:t>
      </w:r>
      <w:r>
        <w:rPr>
          <w:rFonts w:ascii="Times New Roman" w:hAnsi="Times New Roman" w:eastAsia="仿宋_GB2312" w:cs="Times New Roman"/>
          <w:color w:val="auto"/>
          <w:kern w:val="32"/>
          <w:sz w:val="32"/>
          <w:szCs w:val="32"/>
        </w:rPr>
        <w:t>促进可再生</w:t>
      </w:r>
      <w:r>
        <w:rPr>
          <w:rFonts w:hint="eastAsia" w:ascii="Times New Roman" w:hAnsi="Times New Roman" w:eastAsia="仿宋_GB2312" w:cs="Times New Roman"/>
          <w:color w:val="auto"/>
          <w:kern w:val="32"/>
          <w:sz w:val="32"/>
          <w:szCs w:val="32"/>
          <w:lang w:eastAsia="zh-CN"/>
        </w:rPr>
        <w:t>能源有序</w:t>
      </w:r>
      <w:r>
        <w:rPr>
          <w:rFonts w:ascii="Times New Roman" w:hAnsi="Times New Roman" w:eastAsia="仿宋_GB2312" w:cs="Times New Roman"/>
          <w:color w:val="auto"/>
          <w:kern w:val="32"/>
          <w:sz w:val="32"/>
          <w:szCs w:val="32"/>
        </w:rPr>
        <w:t>健康发展。</w:t>
      </w:r>
    </w:p>
    <w:p>
      <w:pPr>
        <w:spacing w:line="560" w:lineRule="exact"/>
        <w:ind w:firstLine="640" w:firstLineChars="200"/>
        <w:rPr>
          <w:rFonts w:ascii="Times New Roman" w:hAnsi="Times New Roman" w:eastAsia="楷体_GB2312" w:cs="Times New Roman"/>
          <w:color w:val="auto"/>
          <w:sz w:val="32"/>
          <w:szCs w:val="32"/>
          <w:lang w:eastAsia="zh-CN"/>
        </w:rPr>
      </w:pPr>
      <w:r>
        <w:rPr>
          <w:rFonts w:ascii="Times New Roman" w:hAnsi="Times New Roman" w:eastAsia="楷体_GB2312" w:cs="Times New Roman"/>
          <w:color w:val="auto"/>
          <w:sz w:val="32"/>
          <w:szCs w:val="32"/>
          <w:lang w:eastAsia="zh-CN"/>
        </w:rPr>
        <w:t>（四）鼓励清洁利用，引导绿色消费</w:t>
      </w:r>
      <w:bookmarkEnd w:id="70"/>
    </w:p>
    <w:p>
      <w:pPr>
        <w:spacing w:line="560" w:lineRule="exact"/>
        <w:ind w:firstLine="640" w:firstLineChars="200"/>
        <w:rPr>
          <w:rFonts w:hint="eastAsia" w:eastAsia="仿宋_GB2312"/>
          <w:color w:val="auto"/>
          <w:kern w:val="32"/>
          <w:sz w:val="32"/>
          <w:szCs w:val="32"/>
          <w:lang w:eastAsia="zh-CN"/>
        </w:rPr>
        <w:sectPr>
          <w:pgSz w:w="11907" w:h="16840"/>
          <w:pgMar w:top="2098" w:right="1474" w:bottom="1984" w:left="1587" w:header="851" w:footer="992" w:gutter="0"/>
          <w:pgNumType w:fmt="numberInDash"/>
          <w:cols w:space="720" w:num="1"/>
          <w:docGrid w:linePitch="312" w:charSpace="0"/>
        </w:sectPr>
      </w:pPr>
      <w:r>
        <w:rPr>
          <w:rFonts w:eastAsia="仿宋_GB2312"/>
          <w:color w:val="auto"/>
          <w:kern w:val="32"/>
          <w:sz w:val="32"/>
          <w:szCs w:val="32"/>
        </w:rPr>
        <w:t>多措并举支持可再生能源消费，提高工业、建筑、交通等领域和公共机构绿色用能要求，加大对使用可再生能源的企业、服务、活动等消费主体和消费行为的认证力度。倡导绿色能源消费理念，充分利用电视、广播、网络、报刊、新媒体等方式，加强可再生能源利用的宣传教育和知识普及，引导终端用户优先选用清洁能源电力，营造有利于可再生能源发展的良</w:t>
      </w:r>
      <w:bookmarkEnd w:id="38"/>
      <w:bookmarkEnd w:id="39"/>
      <w:bookmarkEnd w:id="40"/>
      <w:bookmarkEnd w:id="41"/>
      <w:bookmarkEnd w:id="42"/>
      <w:bookmarkEnd w:id="43"/>
      <w:bookmarkEnd w:id="44"/>
      <w:bookmarkEnd w:id="45"/>
      <w:bookmarkEnd w:id="46"/>
      <w:bookmarkEnd w:id="47"/>
      <w:bookmarkEnd w:id="48"/>
      <w:bookmarkEnd w:id="49"/>
      <w:r>
        <w:rPr>
          <w:rFonts w:hint="eastAsia" w:eastAsia="仿宋_GB2312"/>
          <w:color w:val="auto"/>
          <w:kern w:val="32"/>
          <w:sz w:val="32"/>
          <w:szCs w:val="32"/>
          <w:lang w:eastAsia="zh-CN"/>
        </w:rPr>
        <w:t>好氛围。</w:t>
      </w:r>
    </w:p>
    <w:p>
      <w:pPr>
        <w:spacing w:line="588" w:lineRule="exact"/>
        <w:rPr>
          <w:rFonts w:eastAsia="仿宋_GB2312"/>
          <w:color w:val="auto"/>
          <w:kern w:val="32"/>
          <w:sz w:val="32"/>
          <w:szCs w:val="32"/>
        </w:rPr>
      </w:pPr>
    </w:p>
    <w:sectPr>
      <w:pgSz w:w="16840" w:h="11907" w:orient="landscape"/>
      <w:pgMar w:top="1701" w:right="1440" w:bottom="1701" w:left="1440" w:header="851" w:footer="992" w:gutter="0"/>
      <w:pgNumType w:fmt="numberInDash"/>
      <w:cols w:space="720" w:num="1"/>
      <w:docGrid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方正书宋_GBK">
    <w:altName w:val="Arial Unicode MS"/>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Courier New">
    <w:panose1 w:val="02070309020205020404"/>
    <w:charset w:val="00"/>
    <w:family w:val="modern"/>
    <w:pitch w:val="default"/>
    <w:sig w:usb0="E0002EFF" w:usb1="C0007843" w:usb2="00000009" w:usb3="00000000" w:csb0="400001FF" w:csb1="FFFF0000"/>
  </w:font>
  <w:font w:name="方正仿宋_GBK">
    <w:altName w:val="Arial Unicode MS"/>
    <w:panose1 w:val="02000000000000000000"/>
    <w:charset w:val="86"/>
    <w:family w:val="script"/>
    <w:pitch w:val="default"/>
    <w:sig w:usb0="00000001" w:usb1="08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9"/>
                            <w:jc w:val="center"/>
                            <w:rPr>
                              <w:rFonts w:hint="eastAsia"/>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sz w:val="24"/>
                              <w:szCs w:val="24"/>
                              <w:lang/>
                            </w:rPr>
                            <w:t>- 16 -</w:t>
                          </w:r>
                          <w:r>
                            <w:rPr>
                              <w:rFonts w:hint="eastAsia"/>
                              <w:sz w:val="24"/>
                              <w:szCs w:val="24"/>
                              <w:lang w:eastAsia="zh-CN"/>
                            </w:rPr>
                            <w:fldChar w:fldCharType="end"/>
                          </w:r>
                        </w:p>
                      </w:txbxContent>
                    </wps:txbx>
                    <wps:bodyPr wrap="none" lIns="0" tIns="0" rIns="0" bIns="0" upright="0">
                      <a:spAutoFit/>
                    </wps:bodyPr>
                  </wps:wsp>
                </a:graphicData>
              </a:graphic>
            </wp:anchor>
          </w:drawing>
        </mc:Choice>
        <mc:Fallback>
          <w:pict>
            <v:shape id="文本框 108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zufv8oBAACcAwAADgAAAAAAAAABACAAAAAeAQAAZHJzL2Uyb0Rv&#10;Yy54bWxQSwUGAAAAAAYABgBZAQAAWgUAAAAA&#10;">
              <v:fill on="f" focussize="0,0"/>
              <v:stroke on="f"/>
              <v:imagedata o:title=""/>
              <o:lock v:ext="edit" aspectratio="f"/>
              <v:textbox inset="0mm,0mm,0mm,0mm" style="mso-fit-shape-to-text:t;">
                <w:txbxContent>
                  <w:p>
                    <w:pPr>
                      <w:pStyle w:val="19"/>
                      <w:jc w:val="center"/>
                      <w:rPr>
                        <w:rFonts w:hint="eastAsia"/>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sz w:val="24"/>
                        <w:szCs w:val="24"/>
                        <w:lang/>
                      </w:rPr>
                      <w:t>- 16 -</w:t>
                    </w:r>
                    <w:r>
                      <w:rPr>
                        <w:rFonts w:hint="eastAsia"/>
                        <w:sz w:val="24"/>
                        <w:szCs w:val="24"/>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7F168E"/>
    <w:multiLevelType w:val="singleLevel"/>
    <w:tmpl w:val="FE7F168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3"/>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1BC"/>
    <w:rsid w:val="00000297"/>
    <w:rsid w:val="00000419"/>
    <w:rsid w:val="000011F1"/>
    <w:rsid w:val="00001586"/>
    <w:rsid w:val="00002CAE"/>
    <w:rsid w:val="000033DD"/>
    <w:rsid w:val="000037C3"/>
    <w:rsid w:val="00004597"/>
    <w:rsid w:val="00004DBB"/>
    <w:rsid w:val="00006431"/>
    <w:rsid w:val="000067D2"/>
    <w:rsid w:val="000068F1"/>
    <w:rsid w:val="0000691A"/>
    <w:rsid w:val="00006EB7"/>
    <w:rsid w:val="000075BC"/>
    <w:rsid w:val="000101B6"/>
    <w:rsid w:val="00012695"/>
    <w:rsid w:val="00012719"/>
    <w:rsid w:val="000128D8"/>
    <w:rsid w:val="000130F1"/>
    <w:rsid w:val="000138D5"/>
    <w:rsid w:val="000178FB"/>
    <w:rsid w:val="0002001A"/>
    <w:rsid w:val="0002064F"/>
    <w:rsid w:val="00021F02"/>
    <w:rsid w:val="000235D2"/>
    <w:rsid w:val="000245D1"/>
    <w:rsid w:val="0002470D"/>
    <w:rsid w:val="000248DF"/>
    <w:rsid w:val="0002626B"/>
    <w:rsid w:val="00026963"/>
    <w:rsid w:val="00026DD5"/>
    <w:rsid w:val="00027501"/>
    <w:rsid w:val="00027901"/>
    <w:rsid w:val="00027C94"/>
    <w:rsid w:val="000305A4"/>
    <w:rsid w:val="00030844"/>
    <w:rsid w:val="00032A43"/>
    <w:rsid w:val="000343E6"/>
    <w:rsid w:val="00035080"/>
    <w:rsid w:val="000368A4"/>
    <w:rsid w:val="00037A96"/>
    <w:rsid w:val="00040736"/>
    <w:rsid w:val="00040D58"/>
    <w:rsid w:val="00041E89"/>
    <w:rsid w:val="00042658"/>
    <w:rsid w:val="000444FF"/>
    <w:rsid w:val="000451DC"/>
    <w:rsid w:val="00045F57"/>
    <w:rsid w:val="00047039"/>
    <w:rsid w:val="00047079"/>
    <w:rsid w:val="000534B9"/>
    <w:rsid w:val="000549F2"/>
    <w:rsid w:val="000551A4"/>
    <w:rsid w:val="00060C10"/>
    <w:rsid w:val="00061414"/>
    <w:rsid w:val="00062F0A"/>
    <w:rsid w:val="0006456A"/>
    <w:rsid w:val="00064B69"/>
    <w:rsid w:val="00065AF8"/>
    <w:rsid w:val="00067ED9"/>
    <w:rsid w:val="0007090B"/>
    <w:rsid w:val="00070E3E"/>
    <w:rsid w:val="00071225"/>
    <w:rsid w:val="0007592D"/>
    <w:rsid w:val="00076C2C"/>
    <w:rsid w:val="0008012D"/>
    <w:rsid w:val="00081535"/>
    <w:rsid w:val="0008308E"/>
    <w:rsid w:val="0008330D"/>
    <w:rsid w:val="00086311"/>
    <w:rsid w:val="00086EAC"/>
    <w:rsid w:val="00086ED9"/>
    <w:rsid w:val="00090470"/>
    <w:rsid w:val="000904A9"/>
    <w:rsid w:val="00090E97"/>
    <w:rsid w:val="000913C8"/>
    <w:rsid w:val="00091C43"/>
    <w:rsid w:val="000924CF"/>
    <w:rsid w:val="00092E42"/>
    <w:rsid w:val="00092F97"/>
    <w:rsid w:val="00093638"/>
    <w:rsid w:val="00093BE3"/>
    <w:rsid w:val="00094381"/>
    <w:rsid w:val="000948FE"/>
    <w:rsid w:val="00094FBB"/>
    <w:rsid w:val="00095EB5"/>
    <w:rsid w:val="000A0123"/>
    <w:rsid w:val="000A02E8"/>
    <w:rsid w:val="000A0E1E"/>
    <w:rsid w:val="000A289F"/>
    <w:rsid w:val="000A2ADB"/>
    <w:rsid w:val="000A2DE3"/>
    <w:rsid w:val="000A3C1A"/>
    <w:rsid w:val="000A597E"/>
    <w:rsid w:val="000A5A61"/>
    <w:rsid w:val="000B13CC"/>
    <w:rsid w:val="000B1802"/>
    <w:rsid w:val="000B1AE7"/>
    <w:rsid w:val="000B4274"/>
    <w:rsid w:val="000B519C"/>
    <w:rsid w:val="000B6671"/>
    <w:rsid w:val="000B70B1"/>
    <w:rsid w:val="000B76CB"/>
    <w:rsid w:val="000B7748"/>
    <w:rsid w:val="000C1E29"/>
    <w:rsid w:val="000C2742"/>
    <w:rsid w:val="000C2F44"/>
    <w:rsid w:val="000C379B"/>
    <w:rsid w:val="000C43BE"/>
    <w:rsid w:val="000C4B62"/>
    <w:rsid w:val="000C4BDC"/>
    <w:rsid w:val="000C6992"/>
    <w:rsid w:val="000C6DCC"/>
    <w:rsid w:val="000C6E4E"/>
    <w:rsid w:val="000C7592"/>
    <w:rsid w:val="000D1D03"/>
    <w:rsid w:val="000D249F"/>
    <w:rsid w:val="000D3647"/>
    <w:rsid w:val="000D5E5C"/>
    <w:rsid w:val="000D7B0D"/>
    <w:rsid w:val="000D7E58"/>
    <w:rsid w:val="000E03D2"/>
    <w:rsid w:val="000E05EF"/>
    <w:rsid w:val="000E15F9"/>
    <w:rsid w:val="000E190B"/>
    <w:rsid w:val="000E242E"/>
    <w:rsid w:val="000E4C5C"/>
    <w:rsid w:val="000E51B6"/>
    <w:rsid w:val="000F039D"/>
    <w:rsid w:val="000F1926"/>
    <w:rsid w:val="000F20FE"/>
    <w:rsid w:val="000F2989"/>
    <w:rsid w:val="000F30E7"/>
    <w:rsid w:val="000F3312"/>
    <w:rsid w:val="000F40F9"/>
    <w:rsid w:val="000F4781"/>
    <w:rsid w:val="000F4AC3"/>
    <w:rsid w:val="000F51DC"/>
    <w:rsid w:val="001004AF"/>
    <w:rsid w:val="00100B27"/>
    <w:rsid w:val="00100CFF"/>
    <w:rsid w:val="001019F2"/>
    <w:rsid w:val="00101E45"/>
    <w:rsid w:val="00102555"/>
    <w:rsid w:val="0010308F"/>
    <w:rsid w:val="0010391B"/>
    <w:rsid w:val="00103BF0"/>
    <w:rsid w:val="0010684C"/>
    <w:rsid w:val="00106B30"/>
    <w:rsid w:val="00107583"/>
    <w:rsid w:val="00107A13"/>
    <w:rsid w:val="00107CAA"/>
    <w:rsid w:val="00110E86"/>
    <w:rsid w:val="001111C6"/>
    <w:rsid w:val="00111AAF"/>
    <w:rsid w:val="001123E0"/>
    <w:rsid w:val="001131A8"/>
    <w:rsid w:val="00113BDF"/>
    <w:rsid w:val="0011602F"/>
    <w:rsid w:val="001204B3"/>
    <w:rsid w:val="0012085C"/>
    <w:rsid w:val="00120BF4"/>
    <w:rsid w:val="00120CE9"/>
    <w:rsid w:val="001212E1"/>
    <w:rsid w:val="00124185"/>
    <w:rsid w:val="00124A4B"/>
    <w:rsid w:val="00126A6D"/>
    <w:rsid w:val="00127EFD"/>
    <w:rsid w:val="00130D87"/>
    <w:rsid w:val="00130EBD"/>
    <w:rsid w:val="00132292"/>
    <w:rsid w:val="0013246F"/>
    <w:rsid w:val="00133EB3"/>
    <w:rsid w:val="00134EC5"/>
    <w:rsid w:val="00135243"/>
    <w:rsid w:val="001361AC"/>
    <w:rsid w:val="001361C2"/>
    <w:rsid w:val="00140456"/>
    <w:rsid w:val="00140576"/>
    <w:rsid w:val="00140C52"/>
    <w:rsid w:val="00140D07"/>
    <w:rsid w:val="00140D4A"/>
    <w:rsid w:val="001429E8"/>
    <w:rsid w:val="00142C21"/>
    <w:rsid w:val="00145570"/>
    <w:rsid w:val="00145861"/>
    <w:rsid w:val="0014604B"/>
    <w:rsid w:val="00147349"/>
    <w:rsid w:val="0014744B"/>
    <w:rsid w:val="00147DC3"/>
    <w:rsid w:val="00150BA2"/>
    <w:rsid w:val="00150E6F"/>
    <w:rsid w:val="001513C1"/>
    <w:rsid w:val="00151ACF"/>
    <w:rsid w:val="00151D26"/>
    <w:rsid w:val="001526A4"/>
    <w:rsid w:val="001533FB"/>
    <w:rsid w:val="0015341C"/>
    <w:rsid w:val="0015617A"/>
    <w:rsid w:val="0016080E"/>
    <w:rsid w:val="00161375"/>
    <w:rsid w:val="001615C4"/>
    <w:rsid w:val="00161DF4"/>
    <w:rsid w:val="00162BB5"/>
    <w:rsid w:val="00163190"/>
    <w:rsid w:val="00164E38"/>
    <w:rsid w:val="00164FF9"/>
    <w:rsid w:val="00165E0E"/>
    <w:rsid w:val="001666F8"/>
    <w:rsid w:val="00166A2E"/>
    <w:rsid w:val="0017101F"/>
    <w:rsid w:val="00172A27"/>
    <w:rsid w:val="001745D7"/>
    <w:rsid w:val="00174C4C"/>
    <w:rsid w:val="0017565E"/>
    <w:rsid w:val="0017617F"/>
    <w:rsid w:val="001763C8"/>
    <w:rsid w:val="00176C1E"/>
    <w:rsid w:val="001773ED"/>
    <w:rsid w:val="001817FE"/>
    <w:rsid w:val="00181869"/>
    <w:rsid w:val="00182090"/>
    <w:rsid w:val="00182173"/>
    <w:rsid w:val="00182568"/>
    <w:rsid w:val="00185A6F"/>
    <w:rsid w:val="00187042"/>
    <w:rsid w:val="00193F89"/>
    <w:rsid w:val="0019506E"/>
    <w:rsid w:val="00197A05"/>
    <w:rsid w:val="001A181D"/>
    <w:rsid w:val="001A1E13"/>
    <w:rsid w:val="001A20C6"/>
    <w:rsid w:val="001A41AD"/>
    <w:rsid w:val="001A649B"/>
    <w:rsid w:val="001A6FF9"/>
    <w:rsid w:val="001B06DD"/>
    <w:rsid w:val="001B2B13"/>
    <w:rsid w:val="001B2FB1"/>
    <w:rsid w:val="001B3B46"/>
    <w:rsid w:val="001B5057"/>
    <w:rsid w:val="001C0699"/>
    <w:rsid w:val="001C0A98"/>
    <w:rsid w:val="001C3975"/>
    <w:rsid w:val="001C3F5F"/>
    <w:rsid w:val="001C4246"/>
    <w:rsid w:val="001C4CC9"/>
    <w:rsid w:val="001C602A"/>
    <w:rsid w:val="001C67BB"/>
    <w:rsid w:val="001C70E7"/>
    <w:rsid w:val="001C7291"/>
    <w:rsid w:val="001C7A43"/>
    <w:rsid w:val="001D13FE"/>
    <w:rsid w:val="001D14A4"/>
    <w:rsid w:val="001D18F4"/>
    <w:rsid w:val="001D20E8"/>
    <w:rsid w:val="001D5CCC"/>
    <w:rsid w:val="001D5EAB"/>
    <w:rsid w:val="001D6D72"/>
    <w:rsid w:val="001D772F"/>
    <w:rsid w:val="001D7733"/>
    <w:rsid w:val="001E0ACB"/>
    <w:rsid w:val="001E1355"/>
    <w:rsid w:val="001E2CCD"/>
    <w:rsid w:val="001E2E4B"/>
    <w:rsid w:val="001E3CEF"/>
    <w:rsid w:val="001E452A"/>
    <w:rsid w:val="001F0CFE"/>
    <w:rsid w:val="001F259B"/>
    <w:rsid w:val="001F2E0A"/>
    <w:rsid w:val="001F34B1"/>
    <w:rsid w:val="001F43EE"/>
    <w:rsid w:val="001F4686"/>
    <w:rsid w:val="001F50AF"/>
    <w:rsid w:val="001F535E"/>
    <w:rsid w:val="001F5D8C"/>
    <w:rsid w:val="001F5DAD"/>
    <w:rsid w:val="00203784"/>
    <w:rsid w:val="002047E4"/>
    <w:rsid w:val="002057EC"/>
    <w:rsid w:val="0020616A"/>
    <w:rsid w:val="002063D8"/>
    <w:rsid w:val="00207995"/>
    <w:rsid w:val="00207C5A"/>
    <w:rsid w:val="002115B9"/>
    <w:rsid w:val="00211DB9"/>
    <w:rsid w:val="00211E60"/>
    <w:rsid w:val="0021211F"/>
    <w:rsid w:val="0021228A"/>
    <w:rsid w:val="002126EB"/>
    <w:rsid w:val="00214002"/>
    <w:rsid w:val="00214051"/>
    <w:rsid w:val="00214CB1"/>
    <w:rsid w:val="00215884"/>
    <w:rsid w:val="00215A8B"/>
    <w:rsid w:val="002170A0"/>
    <w:rsid w:val="00217149"/>
    <w:rsid w:val="002171AA"/>
    <w:rsid w:val="00217450"/>
    <w:rsid w:val="0022089A"/>
    <w:rsid w:val="00221B44"/>
    <w:rsid w:val="00221BD0"/>
    <w:rsid w:val="00221BF5"/>
    <w:rsid w:val="00222EBC"/>
    <w:rsid w:val="00223943"/>
    <w:rsid w:val="00226CFC"/>
    <w:rsid w:val="002275C7"/>
    <w:rsid w:val="00227EDF"/>
    <w:rsid w:val="00230B16"/>
    <w:rsid w:val="00235C84"/>
    <w:rsid w:val="00237072"/>
    <w:rsid w:val="00241976"/>
    <w:rsid w:val="00242503"/>
    <w:rsid w:val="00243599"/>
    <w:rsid w:val="00243E93"/>
    <w:rsid w:val="002458B4"/>
    <w:rsid w:val="00245C4A"/>
    <w:rsid w:val="00246A7C"/>
    <w:rsid w:val="0024785A"/>
    <w:rsid w:val="00247C2E"/>
    <w:rsid w:val="0025165B"/>
    <w:rsid w:val="00251AE1"/>
    <w:rsid w:val="00252A27"/>
    <w:rsid w:val="00253C47"/>
    <w:rsid w:val="002547B6"/>
    <w:rsid w:val="00254F67"/>
    <w:rsid w:val="00255E76"/>
    <w:rsid w:val="00256954"/>
    <w:rsid w:val="0025765D"/>
    <w:rsid w:val="0026130D"/>
    <w:rsid w:val="002619EA"/>
    <w:rsid w:val="00262E84"/>
    <w:rsid w:val="00263AB3"/>
    <w:rsid w:val="0026414D"/>
    <w:rsid w:val="00264BE7"/>
    <w:rsid w:val="00266277"/>
    <w:rsid w:val="00266FE4"/>
    <w:rsid w:val="00267117"/>
    <w:rsid w:val="00267F76"/>
    <w:rsid w:val="002708D5"/>
    <w:rsid w:val="00270CA2"/>
    <w:rsid w:val="00271736"/>
    <w:rsid w:val="0027175E"/>
    <w:rsid w:val="002720F6"/>
    <w:rsid w:val="00272384"/>
    <w:rsid w:val="0027252C"/>
    <w:rsid w:val="00272B53"/>
    <w:rsid w:val="00273600"/>
    <w:rsid w:val="00274A97"/>
    <w:rsid w:val="002773EB"/>
    <w:rsid w:val="002778AF"/>
    <w:rsid w:val="00280065"/>
    <w:rsid w:val="00280C6D"/>
    <w:rsid w:val="0028201A"/>
    <w:rsid w:val="00282C98"/>
    <w:rsid w:val="0028338B"/>
    <w:rsid w:val="0028672F"/>
    <w:rsid w:val="0028744F"/>
    <w:rsid w:val="00287A15"/>
    <w:rsid w:val="0029007B"/>
    <w:rsid w:val="00290E5F"/>
    <w:rsid w:val="00294EE7"/>
    <w:rsid w:val="00295A0D"/>
    <w:rsid w:val="00295B19"/>
    <w:rsid w:val="00296297"/>
    <w:rsid w:val="002969D3"/>
    <w:rsid w:val="002A1007"/>
    <w:rsid w:val="002A1371"/>
    <w:rsid w:val="002A394B"/>
    <w:rsid w:val="002A4A59"/>
    <w:rsid w:val="002A6491"/>
    <w:rsid w:val="002A75D6"/>
    <w:rsid w:val="002B0067"/>
    <w:rsid w:val="002B0093"/>
    <w:rsid w:val="002B16D3"/>
    <w:rsid w:val="002B3DEE"/>
    <w:rsid w:val="002B5CE5"/>
    <w:rsid w:val="002B67BC"/>
    <w:rsid w:val="002B7D6C"/>
    <w:rsid w:val="002C15AA"/>
    <w:rsid w:val="002C2D5E"/>
    <w:rsid w:val="002C34E8"/>
    <w:rsid w:val="002C36F5"/>
    <w:rsid w:val="002C4963"/>
    <w:rsid w:val="002C5548"/>
    <w:rsid w:val="002C6BD6"/>
    <w:rsid w:val="002D0CDC"/>
    <w:rsid w:val="002D281C"/>
    <w:rsid w:val="002D2EB6"/>
    <w:rsid w:val="002D303C"/>
    <w:rsid w:val="002D3B9D"/>
    <w:rsid w:val="002D589B"/>
    <w:rsid w:val="002D63D1"/>
    <w:rsid w:val="002D6A69"/>
    <w:rsid w:val="002D7628"/>
    <w:rsid w:val="002E0D79"/>
    <w:rsid w:val="002E1872"/>
    <w:rsid w:val="002E1B79"/>
    <w:rsid w:val="002E1C3D"/>
    <w:rsid w:val="002E1FDA"/>
    <w:rsid w:val="002E20E3"/>
    <w:rsid w:val="002E2198"/>
    <w:rsid w:val="002E37E2"/>
    <w:rsid w:val="002E586A"/>
    <w:rsid w:val="002E58B6"/>
    <w:rsid w:val="002E626A"/>
    <w:rsid w:val="002E683E"/>
    <w:rsid w:val="002E6E25"/>
    <w:rsid w:val="002E6F96"/>
    <w:rsid w:val="002F5A25"/>
    <w:rsid w:val="002F7DCD"/>
    <w:rsid w:val="00300217"/>
    <w:rsid w:val="0030030C"/>
    <w:rsid w:val="003004DF"/>
    <w:rsid w:val="0030091B"/>
    <w:rsid w:val="00300E01"/>
    <w:rsid w:val="003015EB"/>
    <w:rsid w:val="00302425"/>
    <w:rsid w:val="00304545"/>
    <w:rsid w:val="003049CB"/>
    <w:rsid w:val="00305093"/>
    <w:rsid w:val="003050E3"/>
    <w:rsid w:val="00306183"/>
    <w:rsid w:val="0030657F"/>
    <w:rsid w:val="00306BC9"/>
    <w:rsid w:val="00306FA7"/>
    <w:rsid w:val="003072EB"/>
    <w:rsid w:val="00307EA0"/>
    <w:rsid w:val="003101B7"/>
    <w:rsid w:val="00310809"/>
    <w:rsid w:val="003114FA"/>
    <w:rsid w:val="003116CF"/>
    <w:rsid w:val="00311C6F"/>
    <w:rsid w:val="003132BB"/>
    <w:rsid w:val="003153C3"/>
    <w:rsid w:val="0031584F"/>
    <w:rsid w:val="003158AF"/>
    <w:rsid w:val="00317211"/>
    <w:rsid w:val="00317C38"/>
    <w:rsid w:val="00317EE0"/>
    <w:rsid w:val="00320441"/>
    <w:rsid w:val="00321C89"/>
    <w:rsid w:val="00321E68"/>
    <w:rsid w:val="0032240E"/>
    <w:rsid w:val="0032345B"/>
    <w:rsid w:val="003234D2"/>
    <w:rsid w:val="00323BB8"/>
    <w:rsid w:val="00323BE6"/>
    <w:rsid w:val="0032433A"/>
    <w:rsid w:val="00324705"/>
    <w:rsid w:val="0032564F"/>
    <w:rsid w:val="003260E9"/>
    <w:rsid w:val="00327995"/>
    <w:rsid w:val="00330B35"/>
    <w:rsid w:val="003311DC"/>
    <w:rsid w:val="003332F3"/>
    <w:rsid w:val="00334111"/>
    <w:rsid w:val="0033640E"/>
    <w:rsid w:val="00336A2A"/>
    <w:rsid w:val="00337438"/>
    <w:rsid w:val="003407DE"/>
    <w:rsid w:val="00340D64"/>
    <w:rsid w:val="00341798"/>
    <w:rsid w:val="00341BD3"/>
    <w:rsid w:val="00341E41"/>
    <w:rsid w:val="00342904"/>
    <w:rsid w:val="003433C0"/>
    <w:rsid w:val="0034452F"/>
    <w:rsid w:val="00344A56"/>
    <w:rsid w:val="0034630C"/>
    <w:rsid w:val="00352C7F"/>
    <w:rsid w:val="00353F7E"/>
    <w:rsid w:val="0035496C"/>
    <w:rsid w:val="00356CAE"/>
    <w:rsid w:val="003572FD"/>
    <w:rsid w:val="00357DB1"/>
    <w:rsid w:val="00362EEA"/>
    <w:rsid w:val="00366F3A"/>
    <w:rsid w:val="00367411"/>
    <w:rsid w:val="003678DD"/>
    <w:rsid w:val="00370812"/>
    <w:rsid w:val="003720F8"/>
    <w:rsid w:val="00372A5A"/>
    <w:rsid w:val="00372ABE"/>
    <w:rsid w:val="00373F8D"/>
    <w:rsid w:val="00374E64"/>
    <w:rsid w:val="0037518A"/>
    <w:rsid w:val="003764A0"/>
    <w:rsid w:val="003773A6"/>
    <w:rsid w:val="00377E00"/>
    <w:rsid w:val="003810E4"/>
    <w:rsid w:val="003813B8"/>
    <w:rsid w:val="003813E9"/>
    <w:rsid w:val="00384D10"/>
    <w:rsid w:val="0038631F"/>
    <w:rsid w:val="0038656F"/>
    <w:rsid w:val="00391501"/>
    <w:rsid w:val="003935ED"/>
    <w:rsid w:val="00393AA3"/>
    <w:rsid w:val="00393CDA"/>
    <w:rsid w:val="003943AA"/>
    <w:rsid w:val="0039636E"/>
    <w:rsid w:val="0039751C"/>
    <w:rsid w:val="00397DC1"/>
    <w:rsid w:val="003A15AF"/>
    <w:rsid w:val="003A187C"/>
    <w:rsid w:val="003A3F08"/>
    <w:rsid w:val="003A44FE"/>
    <w:rsid w:val="003A558B"/>
    <w:rsid w:val="003A78D6"/>
    <w:rsid w:val="003B20C0"/>
    <w:rsid w:val="003B33F6"/>
    <w:rsid w:val="003B376E"/>
    <w:rsid w:val="003B4268"/>
    <w:rsid w:val="003B5658"/>
    <w:rsid w:val="003B661D"/>
    <w:rsid w:val="003B7773"/>
    <w:rsid w:val="003C2E5F"/>
    <w:rsid w:val="003C3395"/>
    <w:rsid w:val="003C3CFB"/>
    <w:rsid w:val="003C5371"/>
    <w:rsid w:val="003D02B3"/>
    <w:rsid w:val="003D1126"/>
    <w:rsid w:val="003D1D25"/>
    <w:rsid w:val="003D2DE5"/>
    <w:rsid w:val="003D30DE"/>
    <w:rsid w:val="003D46E1"/>
    <w:rsid w:val="003D4811"/>
    <w:rsid w:val="003D6A41"/>
    <w:rsid w:val="003D76EA"/>
    <w:rsid w:val="003E1094"/>
    <w:rsid w:val="003E1477"/>
    <w:rsid w:val="003E19A1"/>
    <w:rsid w:val="003E3241"/>
    <w:rsid w:val="003E3329"/>
    <w:rsid w:val="003E3CF8"/>
    <w:rsid w:val="003E42F3"/>
    <w:rsid w:val="003E5691"/>
    <w:rsid w:val="003E5C5D"/>
    <w:rsid w:val="003E70C5"/>
    <w:rsid w:val="003E76C3"/>
    <w:rsid w:val="003F2960"/>
    <w:rsid w:val="003F2A8D"/>
    <w:rsid w:val="003F419B"/>
    <w:rsid w:val="003F55B9"/>
    <w:rsid w:val="003F7CD2"/>
    <w:rsid w:val="004006EE"/>
    <w:rsid w:val="00400DBE"/>
    <w:rsid w:val="00401112"/>
    <w:rsid w:val="004038F7"/>
    <w:rsid w:val="00403EE3"/>
    <w:rsid w:val="004101D3"/>
    <w:rsid w:val="00411C21"/>
    <w:rsid w:val="00412715"/>
    <w:rsid w:val="00414D96"/>
    <w:rsid w:val="00415134"/>
    <w:rsid w:val="0041600A"/>
    <w:rsid w:val="0042059E"/>
    <w:rsid w:val="00420612"/>
    <w:rsid w:val="00420843"/>
    <w:rsid w:val="00421037"/>
    <w:rsid w:val="004219E9"/>
    <w:rsid w:val="00423096"/>
    <w:rsid w:val="004238C5"/>
    <w:rsid w:val="0042429E"/>
    <w:rsid w:val="00426320"/>
    <w:rsid w:val="00426F81"/>
    <w:rsid w:val="00427883"/>
    <w:rsid w:val="00427AC6"/>
    <w:rsid w:val="004304DA"/>
    <w:rsid w:val="00431834"/>
    <w:rsid w:val="0043396A"/>
    <w:rsid w:val="00434429"/>
    <w:rsid w:val="0043535B"/>
    <w:rsid w:val="00435490"/>
    <w:rsid w:val="004355E6"/>
    <w:rsid w:val="00437A1C"/>
    <w:rsid w:val="0044007B"/>
    <w:rsid w:val="00440550"/>
    <w:rsid w:val="004408F0"/>
    <w:rsid w:val="00440CEE"/>
    <w:rsid w:val="0044136D"/>
    <w:rsid w:val="00441B86"/>
    <w:rsid w:val="00441BF3"/>
    <w:rsid w:val="00441DD4"/>
    <w:rsid w:val="0044437C"/>
    <w:rsid w:val="00444ACD"/>
    <w:rsid w:val="00445802"/>
    <w:rsid w:val="0044597C"/>
    <w:rsid w:val="00445AAE"/>
    <w:rsid w:val="0045260C"/>
    <w:rsid w:val="00452DA5"/>
    <w:rsid w:val="00454824"/>
    <w:rsid w:val="00457175"/>
    <w:rsid w:val="00457A11"/>
    <w:rsid w:val="00457DC5"/>
    <w:rsid w:val="00461336"/>
    <w:rsid w:val="00461C8F"/>
    <w:rsid w:val="004621E9"/>
    <w:rsid w:val="00463EAB"/>
    <w:rsid w:val="00464A13"/>
    <w:rsid w:val="00467807"/>
    <w:rsid w:val="0046784D"/>
    <w:rsid w:val="00467D61"/>
    <w:rsid w:val="00472F9D"/>
    <w:rsid w:val="004732E4"/>
    <w:rsid w:val="00473FE8"/>
    <w:rsid w:val="00474890"/>
    <w:rsid w:val="00474E04"/>
    <w:rsid w:val="00475FB2"/>
    <w:rsid w:val="004805CC"/>
    <w:rsid w:val="00480DDC"/>
    <w:rsid w:val="00481136"/>
    <w:rsid w:val="00481407"/>
    <w:rsid w:val="00484C77"/>
    <w:rsid w:val="00485E56"/>
    <w:rsid w:val="0048614E"/>
    <w:rsid w:val="00486E5E"/>
    <w:rsid w:val="00486F41"/>
    <w:rsid w:val="0049024B"/>
    <w:rsid w:val="00491460"/>
    <w:rsid w:val="00491EC2"/>
    <w:rsid w:val="0049395A"/>
    <w:rsid w:val="004958C8"/>
    <w:rsid w:val="004959E0"/>
    <w:rsid w:val="00496AF9"/>
    <w:rsid w:val="004975D0"/>
    <w:rsid w:val="00497BA2"/>
    <w:rsid w:val="004A04F3"/>
    <w:rsid w:val="004A1981"/>
    <w:rsid w:val="004A362D"/>
    <w:rsid w:val="004A5136"/>
    <w:rsid w:val="004A74DE"/>
    <w:rsid w:val="004A76C3"/>
    <w:rsid w:val="004A7AD3"/>
    <w:rsid w:val="004B088A"/>
    <w:rsid w:val="004B1499"/>
    <w:rsid w:val="004B16E5"/>
    <w:rsid w:val="004B19F6"/>
    <w:rsid w:val="004B1C15"/>
    <w:rsid w:val="004B1F13"/>
    <w:rsid w:val="004B3C30"/>
    <w:rsid w:val="004B52FD"/>
    <w:rsid w:val="004B67B8"/>
    <w:rsid w:val="004B6A98"/>
    <w:rsid w:val="004C0EF3"/>
    <w:rsid w:val="004C3D99"/>
    <w:rsid w:val="004C6FB8"/>
    <w:rsid w:val="004D02A1"/>
    <w:rsid w:val="004D1402"/>
    <w:rsid w:val="004D1454"/>
    <w:rsid w:val="004D163D"/>
    <w:rsid w:val="004D2B00"/>
    <w:rsid w:val="004D2D5B"/>
    <w:rsid w:val="004D3DA5"/>
    <w:rsid w:val="004D4A74"/>
    <w:rsid w:val="004D6B7F"/>
    <w:rsid w:val="004D733D"/>
    <w:rsid w:val="004D7643"/>
    <w:rsid w:val="004D7AEF"/>
    <w:rsid w:val="004E03A6"/>
    <w:rsid w:val="004E0C14"/>
    <w:rsid w:val="004E1198"/>
    <w:rsid w:val="004E22D1"/>
    <w:rsid w:val="004E5449"/>
    <w:rsid w:val="004E5D65"/>
    <w:rsid w:val="004E77D2"/>
    <w:rsid w:val="004E7BBE"/>
    <w:rsid w:val="004E7D57"/>
    <w:rsid w:val="004F0170"/>
    <w:rsid w:val="004F18F2"/>
    <w:rsid w:val="004F23A3"/>
    <w:rsid w:val="004F3B9F"/>
    <w:rsid w:val="004F48F0"/>
    <w:rsid w:val="004F5A75"/>
    <w:rsid w:val="004F6350"/>
    <w:rsid w:val="004F6692"/>
    <w:rsid w:val="00500F02"/>
    <w:rsid w:val="0050159B"/>
    <w:rsid w:val="005015DE"/>
    <w:rsid w:val="00502905"/>
    <w:rsid w:val="005044E6"/>
    <w:rsid w:val="00506584"/>
    <w:rsid w:val="0051103D"/>
    <w:rsid w:val="005116C9"/>
    <w:rsid w:val="005116FB"/>
    <w:rsid w:val="00511B5B"/>
    <w:rsid w:val="0051285A"/>
    <w:rsid w:val="005129D5"/>
    <w:rsid w:val="00514048"/>
    <w:rsid w:val="005144D4"/>
    <w:rsid w:val="00514F7F"/>
    <w:rsid w:val="00515518"/>
    <w:rsid w:val="00516A19"/>
    <w:rsid w:val="005177A1"/>
    <w:rsid w:val="00517802"/>
    <w:rsid w:val="00517C88"/>
    <w:rsid w:val="00521683"/>
    <w:rsid w:val="0052185B"/>
    <w:rsid w:val="0052195A"/>
    <w:rsid w:val="00522FF2"/>
    <w:rsid w:val="0052396C"/>
    <w:rsid w:val="00523993"/>
    <w:rsid w:val="00524BAB"/>
    <w:rsid w:val="00524EA4"/>
    <w:rsid w:val="0052518A"/>
    <w:rsid w:val="0052548F"/>
    <w:rsid w:val="005256D0"/>
    <w:rsid w:val="00526D2D"/>
    <w:rsid w:val="00526E1F"/>
    <w:rsid w:val="00531BAC"/>
    <w:rsid w:val="00531BB0"/>
    <w:rsid w:val="00533E00"/>
    <w:rsid w:val="00534124"/>
    <w:rsid w:val="00535F18"/>
    <w:rsid w:val="005367AE"/>
    <w:rsid w:val="0053758F"/>
    <w:rsid w:val="00537947"/>
    <w:rsid w:val="00540C3C"/>
    <w:rsid w:val="00542BF5"/>
    <w:rsid w:val="00544BA0"/>
    <w:rsid w:val="005452C9"/>
    <w:rsid w:val="00546197"/>
    <w:rsid w:val="00546A03"/>
    <w:rsid w:val="0054701D"/>
    <w:rsid w:val="00547504"/>
    <w:rsid w:val="00547726"/>
    <w:rsid w:val="00547C28"/>
    <w:rsid w:val="00550EBF"/>
    <w:rsid w:val="005515A5"/>
    <w:rsid w:val="00553B97"/>
    <w:rsid w:val="00554892"/>
    <w:rsid w:val="00555579"/>
    <w:rsid w:val="005555D3"/>
    <w:rsid w:val="00556A5C"/>
    <w:rsid w:val="00557247"/>
    <w:rsid w:val="00560A58"/>
    <w:rsid w:val="00561320"/>
    <w:rsid w:val="00562CFD"/>
    <w:rsid w:val="00565C9F"/>
    <w:rsid w:val="00566C91"/>
    <w:rsid w:val="00570B0D"/>
    <w:rsid w:val="00570B72"/>
    <w:rsid w:val="0057135E"/>
    <w:rsid w:val="00572B04"/>
    <w:rsid w:val="00572B4D"/>
    <w:rsid w:val="00572D44"/>
    <w:rsid w:val="00573200"/>
    <w:rsid w:val="00573D45"/>
    <w:rsid w:val="0057415B"/>
    <w:rsid w:val="005741CA"/>
    <w:rsid w:val="00575B41"/>
    <w:rsid w:val="00575C2B"/>
    <w:rsid w:val="00575D9C"/>
    <w:rsid w:val="00576988"/>
    <w:rsid w:val="00577C09"/>
    <w:rsid w:val="0058071A"/>
    <w:rsid w:val="005817A1"/>
    <w:rsid w:val="005821C2"/>
    <w:rsid w:val="00582706"/>
    <w:rsid w:val="00583182"/>
    <w:rsid w:val="00585C97"/>
    <w:rsid w:val="005879FC"/>
    <w:rsid w:val="0059296E"/>
    <w:rsid w:val="00592D32"/>
    <w:rsid w:val="0059437E"/>
    <w:rsid w:val="0059632E"/>
    <w:rsid w:val="005971E5"/>
    <w:rsid w:val="0059749C"/>
    <w:rsid w:val="005A0453"/>
    <w:rsid w:val="005A11F0"/>
    <w:rsid w:val="005A483B"/>
    <w:rsid w:val="005A5A18"/>
    <w:rsid w:val="005A674C"/>
    <w:rsid w:val="005A76C6"/>
    <w:rsid w:val="005B1569"/>
    <w:rsid w:val="005B178D"/>
    <w:rsid w:val="005B1C5A"/>
    <w:rsid w:val="005B1DC7"/>
    <w:rsid w:val="005B21AB"/>
    <w:rsid w:val="005B24CC"/>
    <w:rsid w:val="005B26CF"/>
    <w:rsid w:val="005B2F07"/>
    <w:rsid w:val="005B3F5E"/>
    <w:rsid w:val="005B518A"/>
    <w:rsid w:val="005B5616"/>
    <w:rsid w:val="005B6282"/>
    <w:rsid w:val="005B6D25"/>
    <w:rsid w:val="005C0F5A"/>
    <w:rsid w:val="005C13EC"/>
    <w:rsid w:val="005C1A46"/>
    <w:rsid w:val="005C1AA5"/>
    <w:rsid w:val="005C1FBE"/>
    <w:rsid w:val="005C4A38"/>
    <w:rsid w:val="005D1ECE"/>
    <w:rsid w:val="005D30C2"/>
    <w:rsid w:val="005D3B29"/>
    <w:rsid w:val="005D442B"/>
    <w:rsid w:val="005D4FEB"/>
    <w:rsid w:val="005D7CE0"/>
    <w:rsid w:val="005E0996"/>
    <w:rsid w:val="005E1DF3"/>
    <w:rsid w:val="005E2A21"/>
    <w:rsid w:val="005E366D"/>
    <w:rsid w:val="005E4C0F"/>
    <w:rsid w:val="005E71D2"/>
    <w:rsid w:val="005F01F5"/>
    <w:rsid w:val="005F0F22"/>
    <w:rsid w:val="005F124B"/>
    <w:rsid w:val="005F16A9"/>
    <w:rsid w:val="005F2652"/>
    <w:rsid w:val="005F5BD4"/>
    <w:rsid w:val="005F72C4"/>
    <w:rsid w:val="005F760B"/>
    <w:rsid w:val="005F77FF"/>
    <w:rsid w:val="005F7D08"/>
    <w:rsid w:val="00600E1A"/>
    <w:rsid w:val="006027A6"/>
    <w:rsid w:val="00603E98"/>
    <w:rsid w:val="006049B2"/>
    <w:rsid w:val="006054AD"/>
    <w:rsid w:val="0060587C"/>
    <w:rsid w:val="00610C15"/>
    <w:rsid w:val="00610F56"/>
    <w:rsid w:val="00611247"/>
    <w:rsid w:val="00612CB1"/>
    <w:rsid w:val="006164F9"/>
    <w:rsid w:val="006177B2"/>
    <w:rsid w:val="00617FDD"/>
    <w:rsid w:val="00620FB4"/>
    <w:rsid w:val="00621906"/>
    <w:rsid w:val="006223DD"/>
    <w:rsid w:val="00622D83"/>
    <w:rsid w:val="00622F68"/>
    <w:rsid w:val="00623615"/>
    <w:rsid w:val="00627FE4"/>
    <w:rsid w:val="006305B8"/>
    <w:rsid w:val="0063116C"/>
    <w:rsid w:val="00632BF9"/>
    <w:rsid w:val="00633525"/>
    <w:rsid w:val="006363B6"/>
    <w:rsid w:val="00636EC8"/>
    <w:rsid w:val="00637B2A"/>
    <w:rsid w:val="0064023D"/>
    <w:rsid w:val="00640D9B"/>
    <w:rsid w:val="00640E3B"/>
    <w:rsid w:val="00641B94"/>
    <w:rsid w:val="00644DA6"/>
    <w:rsid w:val="00644E40"/>
    <w:rsid w:val="0064595C"/>
    <w:rsid w:val="00646251"/>
    <w:rsid w:val="0064635A"/>
    <w:rsid w:val="00646B7A"/>
    <w:rsid w:val="00646E32"/>
    <w:rsid w:val="0064711B"/>
    <w:rsid w:val="0064724C"/>
    <w:rsid w:val="00647F17"/>
    <w:rsid w:val="00650FDC"/>
    <w:rsid w:val="00651A12"/>
    <w:rsid w:val="00651E17"/>
    <w:rsid w:val="006561B2"/>
    <w:rsid w:val="00656BE0"/>
    <w:rsid w:val="00660B78"/>
    <w:rsid w:val="006626E8"/>
    <w:rsid w:val="006627D5"/>
    <w:rsid w:val="00662C2D"/>
    <w:rsid w:val="006639C5"/>
    <w:rsid w:val="006641FC"/>
    <w:rsid w:val="00664A09"/>
    <w:rsid w:val="006673F6"/>
    <w:rsid w:val="00667415"/>
    <w:rsid w:val="00671FAA"/>
    <w:rsid w:val="00672C53"/>
    <w:rsid w:val="00672C72"/>
    <w:rsid w:val="00675A10"/>
    <w:rsid w:val="00676840"/>
    <w:rsid w:val="00676A08"/>
    <w:rsid w:val="0067745A"/>
    <w:rsid w:val="00677C87"/>
    <w:rsid w:val="006802B1"/>
    <w:rsid w:val="00680530"/>
    <w:rsid w:val="00680F72"/>
    <w:rsid w:val="00681073"/>
    <w:rsid w:val="00681A65"/>
    <w:rsid w:val="00681D35"/>
    <w:rsid w:val="00682360"/>
    <w:rsid w:val="006823DE"/>
    <w:rsid w:val="0068261B"/>
    <w:rsid w:val="006847D2"/>
    <w:rsid w:val="006859DB"/>
    <w:rsid w:val="0068614D"/>
    <w:rsid w:val="00686495"/>
    <w:rsid w:val="00686663"/>
    <w:rsid w:val="00687D83"/>
    <w:rsid w:val="006935A4"/>
    <w:rsid w:val="0069485B"/>
    <w:rsid w:val="006949DE"/>
    <w:rsid w:val="006958E0"/>
    <w:rsid w:val="006961A3"/>
    <w:rsid w:val="00697E37"/>
    <w:rsid w:val="006A01D1"/>
    <w:rsid w:val="006A27FE"/>
    <w:rsid w:val="006A2BB2"/>
    <w:rsid w:val="006A5F80"/>
    <w:rsid w:val="006A6C86"/>
    <w:rsid w:val="006B1916"/>
    <w:rsid w:val="006B38D6"/>
    <w:rsid w:val="006B46D1"/>
    <w:rsid w:val="006B58F3"/>
    <w:rsid w:val="006B62E6"/>
    <w:rsid w:val="006B6F16"/>
    <w:rsid w:val="006B7219"/>
    <w:rsid w:val="006C0325"/>
    <w:rsid w:val="006C135A"/>
    <w:rsid w:val="006C185C"/>
    <w:rsid w:val="006C21A1"/>
    <w:rsid w:val="006C26BC"/>
    <w:rsid w:val="006C2ABA"/>
    <w:rsid w:val="006C34BD"/>
    <w:rsid w:val="006C3E1C"/>
    <w:rsid w:val="006C45A1"/>
    <w:rsid w:val="006C54D8"/>
    <w:rsid w:val="006C5CEF"/>
    <w:rsid w:val="006C5FD8"/>
    <w:rsid w:val="006C69FD"/>
    <w:rsid w:val="006C7096"/>
    <w:rsid w:val="006C79AA"/>
    <w:rsid w:val="006D16F4"/>
    <w:rsid w:val="006D27CB"/>
    <w:rsid w:val="006D2A2D"/>
    <w:rsid w:val="006D2EC1"/>
    <w:rsid w:val="006D4C07"/>
    <w:rsid w:val="006D6090"/>
    <w:rsid w:val="006D64AE"/>
    <w:rsid w:val="006D6689"/>
    <w:rsid w:val="006E129D"/>
    <w:rsid w:val="006E2642"/>
    <w:rsid w:val="006E3F2E"/>
    <w:rsid w:val="006E5AC0"/>
    <w:rsid w:val="006E71E1"/>
    <w:rsid w:val="006E7F14"/>
    <w:rsid w:val="006F080A"/>
    <w:rsid w:val="006F1031"/>
    <w:rsid w:val="006F125F"/>
    <w:rsid w:val="006F24B4"/>
    <w:rsid w:val="006F46AD"/>
    <w:rsid w:val="006F46BA"/>
    <w:rsid w:val="006F4DE7"/>
    <w:rsid w:val="006F4EF2"/>
    <w:rsid w:val="006F5668"/>
    <w:rsid w:val="00700039"/>
    <w:rsid w:val="007007F9"/>
    <w:rsid w:val="00700883"/>
    <w:rsid w:val="00700E5D"/>
    <w:rsid w:val="00701CF7"/>
    <w:rsid w:val="00702800"/>
    <w:rsid w:val="00702D91"/>
    <w:rsid w:val="00703D86"/>
    <w:rsid w:val="007044E9"/>
    <w:rsid w:val="0070460C"/>
    <w:rsid w:val="00706245"/>
    <w:rsid w:val="007076EE"/>
    <w:rsid w:val="007101EE"/>
    <w:rsid w:val="00710441"/>
    <w:rsid w:val="007107AC"/>
    <w:rsid w:val="007125EA"/>
    <w:rsid w:val="00713235"/>
    <w:rsid w:val="007143EF"/>
    <w:rsid w:val="007149CE"/>
    <w:rsid w:val="00714C9A"/>
    <w:rsid w:val="00714FF0"/>
    <w:rsid w:val="00716DE9"/>
    <w:rsid w:val="0071776A"/>
    <w:rsid w:val="00717DA1"/>
    <w:rsid w:val="00720177"/>
    <w:rsid w:val="00720795"/>
    <w:rsid w:val="00720C57"/>
    <w:rsid w:val="0072141B"/>
    <w:rsid w:val="0072268A"/>
    <w:rsid w:val="0072317C"/>
    <w:rsid w:val="007233BD"/>
    <w:rsid w:val="00723817"/>
    <w:rsid w:val="007246B6"/>
    <w:rsid w:val="0072475F"/>
    <w:rsid w:val="007266A4"/>
    <w:rsid w:val="00727582"/>
    <w:rsid w:val="00727619"/>
    <w:rsid w:val="00727C59"/>
    <w:rsid w:val="00731D5E"/>
    <w:rsid w:val="00732B37"/>
    <w:rsid w:val="00734396"/>
    <w:rsid w:val="0073594C"/>
    <w:rsid w:val="00736A66"/>
    <w:rsid w:val="00737764"/>
    <w:rsid w:val="00740215"/>
    <w:rsid w:val="00741BA7"/>
    <w:rsid w:val="00742969"/>
    <w:rsid w:val="007440AC"/>
    <w:rsid w:val="00744E16"/>
    <w:rsid w:val="007453B4"/>
    <w:rsid w:val="007462CF"/>
    <w:rsid w:val="007470B3"/>
    <w:rsid w:val="00750EAD"/>
    <w:rsid w:val="007525A8"/>
    <w:rsid w:val="00753076"/>
    <w:rsid w:val="00753A83"/>
    <w:rsid w:val="00753B9A"/>
    <w:rsid w:val="00754EF0"/>
    <w:rsid w:val="007566B6"/>
    <w:rsid w:val="00761170"/>
    <w:rsid w:val="00761345"/>
    <w:rsid w:val="0076381A"/>
    <w:rsid w:val="0076538F"/>
    <w:rsid w:val="00765C64"/>
    <w:rsid w:val="007669AB"/>
    <w:rsid w:val="0077031C"/>
    <w:rsid w:val="00770841"/>
    <w:rsid w:val="007720D6"/>
    <w:rsid w:val="00772598"/>
    <w:rsid w:val="00775005"/>
    <w:rsid w:val="00775719"/>
    <w:rsid w:val="00775CC7"/>
    <w:rsid w:val="0077725C"/>
    <w:rsid w:val="00777C41"/>
    <w:rsid w:val="00777D6B"/>
    <w:rsid w:val="00777EA6"/>
    <w:rsid w:val="00780859"/>
    <w:rsid w:val="00780D15"/>
    <w:rsid w:val="007813AF"/>
    <w:rsid w:val="00781ABF"/>
    <w:rsid w:val="00783294"/>
    <w:rsid w:val="007852AC"/>
    <w:rsid w:val="00785A33"/>
    <w:rsid w:val="00785D67"/>
    <w:rsid w:val="007867C9"/>
    <w:rsid w:val="007873D9"/>
    <w:rsid w:val="0079029D"/>
    <w:rsid w:val="007902E4"/>
    <w:rsid w:val="00791517"/>
    <w:rsid w:val="0079341B"/>
    <w:rsid w:val="00793A86"/>
    <w:rsid w:val="00793D50"/>
    <w:rsid w:val="0079416A"/>
    <w:rsid w:val="007949A5"/>
    <w:rsid w:val="007970DD"/>
    <w:rsid w:val="007A2D1A"/>
    <w:rsid w:val="007A3C8F"/>
    <w:rsid w:val="007A3F1B"/>
    <w:rsid w:val="007A4F5D"/>
    <w:rsid w:val="007A6410"/>
    <w:rsid w:val="007B1312"/>
    <w:rsid w:val="007B18D9"/>
    <w:rsid w:val="007B3188"/>
    <w:rsid w:val="007B3EF0"/>
    <w:rsid w:val="007B4F80"/>
    <w:rsid w:val="007B69CE"/>
    <w:rsid w:val="007B7857"/>
    <w:rsid w:val="007C052E"/>
    <w:rsid w:val="007C6F3D"/>
    <w:rsid w:val="007C6FEF"/>
    <w:rsid w:val="007D2BE6"/>
    <w:rsid w:val="007D3131"/>
    <w:rsid w:val="007D3F3F"/>
    <w:rsid w:val="007D3F70"/>
    <w:rsid w:val="007D5024"/>
    <w:rsid w:val="007D5170"/>
    <w:rsid w:val="007D6441"/>
    <w:rsid w:val="007D7210"/>
    <w:rsid w:val="007D78A3"/>
    <w:rsid w:val="007E00DE"/>
    <w:rsid w:val="007E072F"/>
    <w:rsid w:val="007E08F3"/>
    <w:rsid w:val="007E09EE"/>
    <w:rsid w:val="007E0D68"/>
    <w:rsid w:val="007E11D2"/>
    <w:rsid w:val="007E307B"/>
    <w:rsid w:val="007E3C2B"/>
    <w:rsid w:val="007E4E1A"/>
    <w:rsid w:val="007E51EF"/>
    <w:rsid w:val="007E5B20"/>
    <w:rsid w:val="007E61F8"/>
    <w:rsid w:val="007E647E"/>
    <w:rsid w:val="007E746C"/>
    <w:rsid w:val="007F0255"/>
    <w:rsid w:val="007F1634"/>
    <w:rsid w:val="007F3A30"/>
    <w:rsid w:val="007F4E85"/>
    <w:rsid w:val="007F54F4"/>
    <w:rsid w:val="007F66DC"/>
    <w:rsid w:val="007F7FD0"/>
    <w:rsid w:val="00800A68"/>
    <w:rsid w:val="008040F0"/>
    <w:rsid w:val="00804A63"/>
    <w:rsid w:val="00804B0F"/>
    <w:rsid w:val="008058F2"/>
    <w:rsid w:val="00805A1D"/>
    <w:rsid w:val="008063A9"/>
    <w:rsid w:val="00806529"/>
    <w:rsid w:val="008066EB"/>
    <w:rsid w:val="00807875"/>
    <w:rsid w:val="0081063E"/>
    <w:rsid w:val="00811456"/>
    <w:rsid w:val="00811945"/>
    <w:rsid w:val="00811A12"/>
    <w:rsid w:val="008121D3"/>
    <w:rsid w:val="008124A0"/>
    <w:rsid w:val="00813D54"/>
    <w:rsid w:val="008220E3"/>
    <w:rsid w:val="008224D5"/>
    <w:rsid w:val="008247FF"/>
    <w:rsid w:val="00824BF8"/>
    <w:rsid w:val="00825230"/>
    <w:rsid w:val="00825B53"/>
    <w:rsid w:val="00831559"/>
    <w:rsid w:val="00831D99"/>
    <w:rsid w:val="008329B4"/>
    <w:rsid w:val="008347BF"/>
    <w:rsid w:val="00834D0E"/>
    <w:rsid w:val="00837514"/>
    <w:rsid w:val="00837ED7"/>
    <w:rsid w:val="00840661"/>
    <w:rsid w:val="008422A3"/>
    <w:rsid w:val="0084262A"/>
    <w:rsid w:val="00842DE0"/>
    <w:rsid w:val="00843FC1"/>
    <w:rsid w:val="00847D70"/>
    <w:rsid w:val="0085026E"/>
    <w:rsid w:val="0085175E"/>
    <w:rsid w:val="00851D56"/>
    <w:rsid w:val="0085250C"/>
    <w:rsid w:val="00852734"/>
    <w:rsid w:val="0085484E"/>
    <w:rsid w:val="00854A74"/>
    <w:rsid w:val="00856EB6"/>
    <w:rsid w:val="008606CC"/>
    <w:rsid w:val="00860B82"/>
    <w:rsid w:val="00863320"/>
    <w:rsid w:val="008648E3"/>
    <w:rsid w:val="008657D7"/>
    <w:rsid w:val="00866764"/>
    <w:rsid w:val="0086681F"/>
    <w:rsid w:val="00870072"/>
    <w:rsid w:val="00872036"/>
    <w:rsid w:val="008724DB"/>
    <w:rsid w:val="00872F8C"/>
    <w:rsid w:val="00874419"/>
    <w:rsid w:val="00875580"/>
    <w:rsid w:val="008766EB"/>
    <w:rsid w:val="008816FE"/>
    <w:rsid w:val="00881EA2"/>
    <w:rsid w:val="00882C00"/>
    <w:rsid w:val="00882DDF"/>
    <w:rsid w:val="0088358A"/>
    <w:rsid w:val="00883B4A"/>
    <w:rsid w:val="00884B7F"/>
    <w:rsid w:val="008855E0"/>
    <w:rsid w:val="00890081"/>
    <w:rsid w:val="00891587"/>
    <w:rsid w:val="008926F2"/>
    <w:rsid w:val="00893A64"/>
    <w:rsid w:val="00893E71"/>
    <w:rsid w:val="008950B4"/>
    <w:rsid w:val="00896113"/>
    <w:rsid w:val="0089612A"/>
    <w:rsid w:val="008966AB"/>
    <w:rsid w:val="00896A2F"/>
    <w:rsid w:val="00897B38"/>
    <w:rsid w:val="008A1490"/>
    <w:rsid w:val="008A268B"/>
    <w:rsid w:val="008A2FD1"/>
    <w:rsid w:val="008A3F24"/>
    <w:rsid w:val="008A42C9"/>
    <w:rsid w:val="008A54DC"/>
    <w:rsid w:val="008A626B"/>
    <w:rsid w:val="008A6520"/>
    <w:rsid w:val="008A7153"/>
    <w:rsid w:val="008A71E4"/>
    <w:rsid w:val="008A7A60"/>
    <w:rsid w:val="008B2448"/>
    <w:rsid w:val="008B4C2E"/>
    <w:rsid w:val="008C0BD2"/>
    <w:rsid w:val="008C30E2"/>
    <w:rsid w:val="008C35C5"/>
    <w:rsid w:val="008C4EB4"/>
    <w:rsid w:val="008C522C"/>
    <w:rsid w:val="008D0DCF"/>
    <w:rsid w:val="008D1203"/>
    <w:rsid w:val="008D12FA"/>
    <w:rsid w:val="008D172A"/>
    <w:rsid w:val="008D18E0"/>
    <w:rsid w:val="008D2414"/>
    <w:rsid w:val="008D3713"/>
    <w:rsid w:val="008D3EE4"/>
    <w:rsid w:val="008D4C57"/>
    <w:rsid w:val="008D4C5F"/>
    <w:rsid w:val="008D54C2"/>
    <w:rsid w:val="008D70A7"/>
    <w:rsid w:val="008D7600"/>
    <w:rsid w:val="008E0C69"/>
    <w:rsid w:val="008E2F46"/>
    <w:rsid w:val="008E3703"/>
    <w:rsid w:val="008E4240"/>
    <w:rsid w:val="008F0B3A"/>
    <w:rsid w:val="008F1D2F"/>
    <w:rsid w:val="008F33C9"/>
    <w:rsid w:val="008F42C9"/>
    <w:rsid w:val="008F4F71"/>
    <w:rsid w:val="008F6739"/>
    <w:rsid w:val="008F79B7"/>
    <w:rsid w:val="008F7D8E"/>
    <w:rsid w:val="00900A53"/>
    <w:rsid w:val="009031AA"/>
    <w:rsid w:val="0090474C"/>
    <w:rsid w:val="00905433"/>
    <w:rsid w:val="00905492"/>
    <w:rsid w:val="009054AD"/>
    <w:rsid w:val="00905AA5"/>
    <w:rsid w:val="00905E87"/>
    <w:rsid w:val="009062E5"/>
    <w:rsid w:val="009064F4"/>
    <w:rsid w:val="00907B8C"/>
    <w:rsid w:val="009125A7"/>
    <w:rsid w:val="00913D76"/>
    <w:rsid w:val="009145A3"/>
    <w:rsid w:val="00916B03"/>
    <w:rsid w:val="00917341"/>
    <w:rsid w:val="0091773D"/>
    <w:rsid w:val="0092005F"/>
    <w:rsid w:val="00921471"/>
    <w:rsid w:val="00921CC3"/>
    <w:rsid w:val="009240CA"/>
    <w:rsid w:val="0092620F"/>
    <w:rsid w:val="0092709F"/>
    <w:rsid w:val="009302DC"/>
    <w:rsid w:val="00930795"/>
    <w:rsid w:val="0093093F"/>
    <w:rsid w:val="00930D1E"/>
    <w:rsid w:val="0093109F"/>
    <w:rsid w:val="00931D23"/>
    <w:rsid w:val="00931FD9"/>
    <w:rsid w:val="009320F4"/>
    <w:rsid w:val="0093278F"/>
    <w:rsid w:val="00933CB8"/>
    <w:rsid w:val="009340CE"/>
    <w:rsid w:val="009348EE"/>
    <w:rsid w:val="00934B60"/>
    <w:rsid w:val="00935027"/>
    <w:rsid w:val="00936350"/>
    <w:rsid w:val="00937C38"/>
    <w:rsid w:val="00941B4E"/>
    <w:rsid w:val="009438C0"/>
    <w:rsid w:val="00945AA0"/>
    <w:rsid w:val="00946238"/>
    <w:rsid w:val="00947C14"/>
    <w:rsid w:val="00951985"/>
    <w:rsid w:val="00952689"/>
    <w:rsid w:val="00952A49"/>
    <w:rsid w:val="00952BAD"/>
    <w:rsid w:val="009535D5"/>
    <w:rsid w:val="00953B87"/>
    <w:rsid w:val="00955168"/>
    <w:rsid w:val="00955770"/>
    <w:rsid w:val="00955C18"/>
    <w:rsid w:val="00955F40"/>
    <w:rsid w:val="009571C3"/>
    <w:rsid w:val="0095794A"/>
    <w:rsid w:val="009604A8"/>
    <w:rsid w:val="00961AFC"/>
    <w:rsid w:val="00963834"/>
    <w:rsid w:val="009646DE"/>
    <w:rsid w:val="00965B86"/>
    <w:rsid w:val="00966121"/>
    <w:rsid w:val="009667A7"/>
    <w:rsid w:val="00967952"/>
    <w:rsid w:val="00967F8A"/>
    <w:rsid w:val="00970363"/>
    <w:rsid w:val="00972269"/>
    <w:rsid w:val="009725AA"/>
    <w:rsid w:val="00972B04"/>
    <w:rsid w:val="00973CE3"/>
    <w:rsid w:val="00974A3F"/>
    <w:rsid w:val="009761FB"/>
    <w:rsid w:val="0097624E"/>
    <w:rsid w:val="00977CF0"/>
    <w:rsid w:val="009802B7"/>
    <w:rsid w:val="009836F2"/>
    <w:rsid w:val="0098378D"/>
    <w:rsid w:val="009838FB"/>
    <w:rsid w:val="00986926"/>
    <w:rsid w:val="00986BBD"/>
    <w:rsid w:val="00986F1C"/>
    <w:rsid w:val="00991828"/>
    <w:rsid w:val="00992E5D"/>
    <w:rsid w:val="00994561"/>
    <w:rsid w:val="009A0DC3"/>
    <w:rsid w:val="009A0ED5"/>
    <w:rsid w:val="009A2E10"/>
    <w:rsid w:val="009A3460"/>
    <w:rsid w:val="009A48DE"/>
    <w:rsid w:val="009A51EF"/>
    <w:rsid w:val="009A6A53"/>
    <w:rsid w:val="009A7099"/>
    <w:rsid w:val="009B0509"/>
    <w:rsid w:val="009B0DBA"/>
    <w:rsid w:val="009B10D2"/>
    <w:rsid w:val="009B200B"/>
    <w:rsid w:val="009B24B3"/>
    <w:rsid w:val="009B4603"/>
    <w:rsid w:val="009B4D55"/>
    <w:rsid w:val="009B564F"/>
    <w:rsid w:val="009B6A93"/>
    <w:rsid w:val="009B7EA7"/>
    <w:rsid w:val="009C055B"/>
    <w:rsid w:val="009C0C56"/>
    <w:rsid w:val="009C13B8"/>
    <w:rsid w:val="009C37EA"/>
    <w:rsid w:val="009C4B51"/>
    <w:rsid w:val="009D0168"/>
    <w:rsid w:val="009D33B0"/>
    <w:rsid w:val="009D49F6"/>
    <w:rsid w:val="009D4CF7"/>
    <w:rsid w:val="009D4F0D"/>
    <w:rsid w:val="009D5A68"/>
    <w:rsid w:val="009D6CBA"/>
    <w:rsid w:val="009D7153"/>
    <w:rsid w:val="009D7F97"/>
    <w:rsid w:val="009E12B4"/>
    <w:rsid w:val="009E17B9"/>
    <w:rsid w:val="009E2308"/>
    <w:rsid w:val="009E3492"/>
    <w:rsid w:val="009E403B"/>
    <w:rsid w:val="009E78CB"/>
    <w:rsid w:val="009F0CD6"/>
    <w:rsid w:val="009F14B3"/>
    <w:rsid w:val="009F1CC8"/>
    <w:rsid w:val="009F3814"/>
    <w:rsid w:val="009F4241"/>
    <w:rsid w:val="009F4CB8"/>
    <w:rsid w:val="009F6B5E"/>
    <w:rsid w:val="009F6EAC"/>
    <w:rsid w:val="009F71CE"/>
    <w:rsid w:val="009F733A"/>
    <w:rsid w:val="00A00E26"/>
    <w:rsid w:val="00A02000"/>
    <w:rsid w:val="00A02AB7"/>
    <w:rsid w:val="00A0363B"/>
    <w:rsid w:val="00A037BD"/>
    <w:rsid w:val="00A0402F"/>
    <w:rsid w:val="00A0433B"/>
    <w:rsid w:val="00A05B34"/>
    <w:rsid w:val="00A05DEA"/>
    <w:rsid w:val="00A05FDD"/>
    <w:rsid w:val="00A061B4"/>
    <w:rsid w:val="00A06690"/>
    <w:rsid w:val="00A07385"/>
    <w:rsid w:val="00A1037C"/>
    <w:rsid w:val="00A10E5F"/>
    <w:rsid w:val="00A10F84"/>
    <w:rsid w:val="00A12691"/>
    <w:rsid w:val="00A13687"/>
    <w:rsid w:val="00A142B6"/>
    <w:rsid w:val="00A14B71"/>
    <w:rsid w:val="00A15836"/>
    <w:rsid w:val="00A15F0E"/>
    <w:rsid w:val="00A161C2"/>
    <w:rsid w:val="00A16257"/>
    <w:rsid w:val="00A16756"/>
    <w:rsid w:val="00A16EB0"/>
    <w:rsid w:val="00A17A38"/>
    <w:rsid w:val="00A17BE8"/>
    <w:rsid w:val="00A20A91"/>
    <w:rsid w:val="00A223AD"/>
    <w:rsid w:val="00A25677"/>
    <w:rsid w:val="00A261E2"/>
    <w:rsid w:val="00A265B3"/>
    <w:rsid w:val="00A26C3E"/>
    <w:rsid w:val="00A2739A"/>
    <w:rsid w:val="00A27640"/>
    <w:rsid w:val="00A318E6"/>
    <w:rsid w:val="00A31B17"/>
    <w:rsid w:val="00A33CB7"/>
    <w:rsid w:val="00A33DAD"/>
    <w:rsid w:val="00A345A2"/>
    <w:rsid w:val="00A357F5"/>
    <w:rsid w:val="00A370A0"/>
    <w:rsid w:val="00A40640"/>
    <w:rsid w:val="00A41C0B"/>
    <w:rsid w:val="00A425B1"/>
    <w:rsid w:val="00A43107"/>
    <w:rsid w:val="00A456DC"/>
    <w:rsid w:val="00A45858"/>
    <w:rsid w:val="00A45D58"/>
    <w:rsid w:val="00A470B9"/>
    <w:rsid w:val="00A50648"/>
    <w:rsid w:val="00A51F6C"/>
    <w:rsid w:val="00A52BBA"/>
    <w:rsid w:val="00A534D4"/>
    <w:rsid w:val="00A5696D"/>
    <w:rsid w:val="00A56ECC"/>
    <w:rsid w:val="00A61311"/>
    <w:rsid w:val="00A61F84"/>
    <w:rsid w:val="00A63F2F"/>
    <w:rsid w:val="00A64F5C"/>
    <w:rsid w:val="00A66F52"/>
    <w:rsid w:val="00A67A5B"/>
    <w:rsid w:val="00A70E2D"/>
    <w:rsid w:val="00A7194D"/>
    <w:rsid w:val="00A722F0"/>
    <w:rsid w:val="00A72B1A"/>
    <w:rsid w:val="00A735C1"/>
    <w:rsid w:val="00A73682"/>
    <w:rsid w:val="00A742DB"/>
    <w:rsid w:val="00A74D33"/>
    <w:rsid w:val="00A74F06"/>
    <w:rsid w:val="00A75879"/>
    <w:rsid w:val="00A80C66"/>
    <w:rsid w:val="00A81198"/>
    <w:rsid w:val="00A81281"/>
    <w:rsid w:val="00A81D7C"/>
    <w:rsid w:val="00A820ED"/>
    <w:rsid w:val="00A8224E"/>
    <w:rsid w:val="00A82480"/>
    <w:rsid w:val="00A82580"/>
    <w:rsid w:val="00A8275D"/>
    <w:rsid w:val="00A83F9C"/>
    <w:rsid w:val="00A84D17"/>
    <w:rsid w:val="00A86C2A"/>
    <w:rsid w:val="00A86C9F"/>
    <w:rsid w:val="00A86CE5"/>
    <w:rsid w:val="00A87427"/>
    <w:rsid w:val="00A87683"/>
    <w:rsid w:val="00A87B49"/>
    <w:rsid w:val="00A87D53"/>
    <w:rsid w:val="00A9150D"/>
    <w:rsid w:val="00A93B16"/>
    <w:rsid w:val="00A94AB8"/>
    <w:rsid w:val="00A95B96"/>
    <w:rsid w:val="00A9760E"/>
    <w:rsid w:val="00AA08AB"/>
    <w:rsid w:val="00AA0C71"/>
    <w:rsid w:val="00AA1361"/>
    <w:rsid w:val="00AA13FC"/>
    <w:rsid w:val="00AA1850"/>
    <w:rsid w:val="00AA2384"/>
    <w:rsid w:val="00AA28CA"/>
    <w:rsid w:val="00AA2957"/>
    <w:rsid w:val="00AA3E2B"/>
    <w:rsid w:val="00AA4063"/>
    <w:rsid w:val="00AA5A7E"/>
    <w:rsid w:val="00AA5F47"/>
    <w:rsid w:val="00AA6722"/>
    <w:rsid w:val="00AA7974"/>
    <w:rsid w:val="00AB22DC"/>
    <w:rsid w:val="00AB3369"/>
    <w:rsid w:val="00AB39D8"/>
    <w:rsid w:val="00AB4D1E"/>
    <w:rsid w:val="00AB588F"/>
    <w:rsid w:val="00AB5B22"/>
    <w:rsid w:val="00AB61DE"/>
    <w:rsid w:val="00AB67AB"/>
    <w:rsid w:val="00AC2CD6"/>
    <w:rsid w:val="00AC46DC"/>
    <w:rsid w:val="00AC5563"/>
    <w:rsid w:val="00AC5D0D"/>
    <w:rsid w:val="00AC64A0"/>
    <w:rsid w:val="00AC699E"/>
    <w:rsid w:val="00AC7136"/>
    <w:rsid w:val="00AC7EFE"/>
    <w:rsid w:val="00AD013A"/>
    <w:rsid w:val="00AD0B46"/>
    <w:rsid w:val="00AD0CB2"/>
    <w:rsid w:val="00AD3D8D"/>
    <w:rsid w:val="00AD4155"/>
    <w:rsid w:val="00AD5FE5"/>
    <w:rsid w:val="00AD65DE"/>
    <w:rsid w:val="00AE0BE6"/>
    <w:rsid w:val="00AE1631"/>
    <w:rsid w:val="00AE2939"/>
    <w:rsid w:val="00AE2F96"/>
    <w:rsid w:val="00AE3B74"/>
    <w:rsid w:val="00AE3EE3"/>
    <w:rsid w:val="00AE5B9C"/>
    <w:rsid w:val="00AF0D9C"/>
    <w:rsid w:val="00AF1CC9"/>
    <w:rsid w:val="00AF3FDB"/>
    <w:rsid w:val="00AF4166"/>
    <w:rsid w:val="00AF465E"/>
    <w:rsid w:val="00AF627C"/>
    <w:rsid w:val="00AF6E26"/>
    <w:rsid w:val="00B000B5"/>
    <w:rsid w:val="00B01EA7"/>
    <w:rsid w:val="00B02127"/>
    <w:rsid w:val="00B038C8"/>
    <w:rsid w:val="00B03D49"/>
    <w:rsid w:val="00B03EB9"/>
    <w:rsid w:val="00B04A9E"/>
    <w:rsid w:val="00B04C7A"/>
    <w:rsid w:val="00B06FD8"/>
    <w:rsid w:val="00B07317"/>
    <w:rsid w:val="00B07B04"/>
    <w:rsid w:val="00B11304"/>
    <w:rsid w:val="00B1158D"/>
    <w:rsid w:val="00B11823"/>
    <w:rsid w:val="00B1248D"/>
    <w:rsid w:val="00B1302B"/>
    <w:rsid w:val="00B14B95"/>
    <w:rsid w:val="00B14DB0"/>
    <w:rsid w:val="00B14EA8"/>
    <w:rsid w:val="00B157B1"/>
    <w:rsid w:val="00B15B13"/>
    <w:rsid w:val="00B179F1"/>
    <w:rsid w:val="00B17E73"/>
    <w:rsid w:val="00B17FC9"/>
    <w:rsid w:val="00B21122"/>
    <w:rsid w:val="00B215B2"/>
    <w:rsid w:val="00B224AA"/>
    <w:rsid w:val="00B22BE7"/>
    <w:rsid w:val="00B239A0"/>
    <w:rsid w:val="00B240CE"/>
    <w:rsid w:val="00B24BAC"/>
    <w:rsid w:val="00B26C09"/>
    <w:rsid w:val="00B278D4"/>
    <w:rsid w:val="00B316D1"/>
    <w:rsid w:val="00B32255"/>
    <w:rsid w:val="00B32B47"/>
    <w:rsid w:val="00B32B85"/>
    <w:rsid w:val="00B336C6"/>
    <w:rsid w:val="00B34008"/>
    <w:rsid w:val="00B3425B"/>
    <w:rsid w:val="00B343B7"/>
    <w:rsid w:val="00B3445E"/>
    <w:rsid w:val="00B37A69"/>
    <w:rsid w:val="00B37A95"/>
    <w:rsid w:val="00B41FCA"/>
    <w:rsid w:val="00B424D5"/>
    <w:rsid w:val="00B43DC5"/>
    <w:rsid w:val="00B444ED"/>
    <w:rsid w:val="00B445FC"/>
    <w:rsid w:val="00B44FF0"/>
    <w:rsid w:val="00B4588B"/>
    <w:rsid w:val="00B465B0"/>
    <w:rsid w:val="00B509FE"/>
    <w:rsid w:val="00B52558"/>
    <w:rsid w:val="00B52F93"/>
    <w:rsid w:val="00B53A33"/>
    <w:rsid w:val="00B53A68"/>
    <w:rsid w:val="00B53C54"/>
    <w:rsid w:val="00B56171"/>
    <w:rsid w:val="00B56537"/>
    <w:rsid w:val="00B56A90"/>
    <w:rsid w:val="00B57C58"/>
    <w:rsid w:val="00B57CC0"/>
    <w:rsid w:val="00B60183"/>
    <w:rsid w:val="00B6019D"/>
    <w:rsid w:val="00B626AC"/>
    <w:rsid w:val="00B62E37"/>
    <w:rsid w:val="00B63BB1"/>
    <w:rsid w:val="00B63DF1"/>
    <w:rsid w:val="00B655B7"/>
    <w:rsid w:val="00B65D3F"/>
    <w:rsid w:val="00B66A5C"/>
    <w:rsid w:val="00B67975"/>
    <w:rsid w:val="00B67C38"/>
    <w:rsid w:val="00B67DAE"/>
    <w:rsid w:val="00B67E2B"/>
    <w:rsid w:val="00B700F9"/>
    <w:rsid w:val="00B7011D"/>
    <w:rsid w:val="00B7180F"/>
    <w:rsid w:val="00B72168"/>
    <w:rsid w:val="00B724E7"/>
    <w:rsid w:val="00B73739"/>
    <w:rsid w:val="00B73F9A"/>
    <w:rsid w:val="00B73FDC"/>
    <w:rsid w:val="00B74568"/>
    <w:rsid w:val="00B7612B"/>
    <w:rsid w:val="00B77A86"/>
    <w:rsid w:val="00B77AAC"/>
    <w:rsid w:val="00B8017D"/>
    <w:rsid w:val="00B80A9D"/>
    <w:rsid w:val="00B8137D"/>
    <w:rsid w:val="00B81B1D"/>
    <w:rsid w:val="00B81E5D"/>
    <w:rsid w:val="00B82582"/>
    <w:rsid w:val="00B83206"/>
    <w:rsid w:val="00B8413A"/>
    <w:rsid w:val="00B8527F"/>
    <w:rsid w:val="00B85319"/>
    <w:rsid w:val="00B861E8"/>
    <w:rsid w:val="00B943C1"/>
    <w:rsid w:val="00B949C3"/>
    <w:rsid w:val="00B95672"/>
    <w:rsid w:val="00B96053"/>
    <w:rsid w:val="00B960B2"/>
    <w:rsid w:val="00B964A1"/>
    <w:rsid w:val="00B96AD2"/>
    <w:rsid w:val="00B96AE6"/>
    <w:rsid w:val="00B97FB2"/>
    <w:rsid w:val="00BA03B0"/>
    <w:rsid w:val="00BA0C92"/>
    <w:rsid w:val="00BA1F88"/>
    <w:rsid w:val="00BA31EE"/>
    <w:rsid w:val="00BA37BC"/>
    <w:rsid w:val="00BA5439"/>
    <w:rsid w:val="00BA706B"/>
    <w:rsid w:val="00BB029A"/>
    <w:rsid w:val="00BB096C"/>
    <w:rsid w:val="00BB0986"/>
    <w:rsid w:val="00BB2BA6"/>
    <w:rsid w:val="00BB2BC5"/>
    <w:rsid w:val="00BB3622"/>
    <w:rsid w:val="00BB3715"/>
    <w:rsid w:val="00BB47BB"/>
    <w:rsid w:val="00BB7261"/>
    <w:rsid w:val="00BB7A8D"/>
    <w:rsid w:val="00BC0971"/>
    <w:rsid w:val="00BC0F74"/>
    <w:rsid w:val="00BC242B"/>
    <w:rsid w:val="00BC2D61"/>
    <w:rsid w:val="00BC315B"/>
    <w:rsid w:val="00BC4B1F"/>
    <w:rsid w:val="00BC4DE9"/>
    <w:rsid w:val="00BC683B"/>
    <w:rsid w:val="00BC69D3"/>
    <w:rsid w:val="00BC6A83"/>
    <w:rsid w:val="00BC7756"/>
    <w:rsid w:val="00BC7C63"/>
    <w:rsid w:val="00BC7DEF"/>
    <w:rsid w:val="00BD0819"/>
    <w:rsid w:val="00BD1535"/>
    <w:rsid w:val="00BD1B77"/>
    <w:rsid w:val="00BD3D51"/>
    <w:rsid w:val="00BD4307"/>
    <w:rsid w:val="00BD5024"/>
    <w:rsid w:val="00BD51AE"/>
    <w:rsid w:val="00BE00E6"/>
    <w:rsid w:val="00BE0557"/>
    <w:rsid w:val="00BE28B1"/>
    <w:rsid w:val="00BE30C4"/>
    <w:rsid w:val="00BE35B1"/>
    <w:rsid w:val="00BE6008"/>
    <w:rsid w:val="00BE647C"/>
    <w:rsid w:val="00BE6B38"/>
    <w:rsid w:val="00BE74B3"/>
    <w:rsid w:val="00BE77D0"/>
    <w:rsid w:val="00BF04D3"/>
    <w:rsid w:val="00BF15BB"/>
    <w:rsid w:val="00BF1D53"/>
    <w:rsid w:val="00BF32C3"/>
    <w:rsid w:val="00BF7833"/>
    <w:rsid w:val="00C00CEC"/>
    <w:rsid w:val="00C00E39"/>
    <w:rsid w:val="00C00F02"/>
    <w:rsid w:val="00C02863"/>
    <w:rsid w:val="00C039CA"/>
    <w:rsid w:val="00C04328"/>
    <w:rsid w:val="00C049A2"/>
    <w:rsid w:val="00C04B1C"/>
    <w:rsid w:val="00C05A98"/>
    <w:rsid w:val="00C06A25"/>
    <w:rsid w:val="00C06B3E"/>
    <w:rsid w:val="00C10957"/>
    <w:rsid w:val="00C10AB2"/>
    <w:rsid w:val="00C113AD"/>
    <w:rsid w:val="00C1179C"/>
    <w:rsid w:val="00C121F2"/>
    <w:rsid w:val="00C15024"/>
    <w:rsid w:val="00C16214"/>
    <w:rsid w:val="00C21BB4"/>
    <w:rsid w:val="00C22FFC"/>
    <w:rsid w:val="00C2331C"/>
    <w:rsid w:val="00C24360"/>
    <w:rsid w:val="00C24539"/>
    <w:rsid w:val="00C24BA8"/>
    <w:rsid w:val="00C2620D"/>
    <w:rsid w:val="00C26E0E"/>
    <w:rsid w:val="00C26F3E"/>
    <w:rsid w:val="00C27F06"/>
    <w:rsid w:val="00C300C9"/>
    <w:rsid w:val="00C30909"/>
    <w:rsid w:val="00C3278F"/>
    <w:rsid w:val="00C34775"/>
    <w:rsid w:val="00C350A7"/>
    <w:rsid w:val="00C35278"/>
    <w:rsid w:val="00C37735"/>
    <w:rsid w:val="00C37C7D"/>
    <w:rsid w:val="00C40B04"/>
    <w:rsid w:val="00C42259"/>
    <w:rsid w:val="00C426FD"/>
    <w:rsid w:val="00C43755"/>
    <w:rsid w:val="00C43B45"/>
    <w:rsid w:val="00C44074"/>
    <w:rsid w:val="00C443D3"/>
    <w:rsid w:val="00C464C1"/>
    <w:rsid w:val="00C46F86"/>
    <w:rsid w:val="00C47573"/>
    <w:rsid w:val="00C52115"/>
    <w:rsid w:val="00C55AEE"/>
    <w:rsid w:val="00C565D8"/>
    <w:rsid w:val="00C56648"/>
    <w:rsid w:val="00C56770"/>
    <w:rsid w:val="00C5699F"/>
    <w:rsid w:val="00C5798F"/>
    <w:rsid w:val="00C6008A"/>
    <w:rsid w:val="00C60AB3"/>
    <w:rsid w:val="00C61F45"/>
    <w:rsid w:val="00C66520"/>
    <w:rsid w:val="00C66914"/>
    <w:rsid w:val="00C67199"/>
    <w:rsid w:val="00C67ED4"/>
    <w:rsid w:val="00C70E20"/>
    <w:rsid w:val="00C720F3"/>
    <w:rsid w:val="00C721AD"/>
    <w:rsid w:val="00C74147"/>
    <w:rsid w:val="00C7483E"/>
    <w:rsid w:val="00C751E4"/>
    <w:rsid w:val="00C766B3"/>
    <w:rsid w:val="00C771F9"/>
    <w:rsid w:val="00C80A5F"/>
    <w:rsid w:val="00C8297D"/>
    <w:rsid w:val="00C87E27"/>
    <w:rsid w:val="00C928EE"/>
    <w:rsid w:val="00C96937"/>
    <w:rsid w:val="00CA2F41"/>
    <w:rsid w:val="00CA35F4"/>
    <w:rsid w:val="00CA4126"/>
    <w:rsid w:val="00CA4293"/>
    <w:rsid w:val="00CA5659"/>
    <w:rsid w:val="00CA6659"/>
    <w:rsid w:val="00CA7A74"/>
    <w:rsid w:val="00CB048A"/>
    <w:rsid w:val="00CB1899"/>
    <w:rsid w:val="00CB31C0"/>
    <w:rsid w:val="00CB50BE"/>
    <w:rsid w:val="00CB6135"/>
    <w:rsid w:val="00CB753E"/>
    <w:rsid w:val="00CB7EA2"/>
    <w:rsid w:val="00CC220E"/>
    <w:rsid w:val="00CC3733"/>
    <w:rsid w:val="00CC4169"/>
    <w:rsid w:val="00CC5D8C"/>
    <w:rsid w:val="00CC5FAA"/>
    <w:rsid w:val="00CC7300"/>
    <w:rsid w:val="00CC74DB"/>
    <w:rsid w:val="00CD09F9"/>
    <w:rsid w:val="00CD23A1"/>
    <w:rsid w:val="00CD2694"/>
    <w:rsid w:val="00CD318B"/>
    <w:rsid w:val="00CD41C9"/>
    <w:rsid w:val="00CD651C"/>
    <w:rsid w:val="00CD6C6A"/>
    <w:rsid w:val="00CD7A84"/>
    <w:rsid w:val="00CD7BB5"/>
    <w:rsid w:val="00CD7D97"/>
    <w:rsid w:val="00CE1AF4"/>
    <w:rsid w:val="00CE1DDD"/>
    <w:rsid w:val="00CE1F31"/>
    <w:rsid w:val="00CE20D9"/>
    <w:rsid w:val="00CE517A"/>
    <w:rsid w:val="00CE5D74"/>
    <w:rsid w:val="00CE7833"/>
    <w:rsid w:val="00CF0C16"/>
    <w:rsid w:val="00CF20CF"/>
    <w:rsid w:val="00CF2514"/>
    <w:rsid w:val="00CF346B"/>
    <w:rsid w:val="00CF38E6"/>
    <w:rsid w:val="00CF3DAD"/>
    <w:rsid w:val="00CF4FC8"/>
    <w:rsid w:val="00CF525A"/>
    <w:rsid w:val="00CF5566"/>
    <w:rsid w:val="00CF6B96"/>
    <w:rsid w:val="00CF701D"/>
    <w:rsid w:val="00CF7AD4"/>
    <w:rsid w:val="00CF7C7E"/>
    <w:rsid w:val="00CF7D76"/>
    <w:rsid w:val="00D00E39"/>
    <w:rsid w:val="00D015F5"/>
    <w:rsid w:val="00D02946"/>
    <w:rsid w:val="00D02E53"/>
    <w:rsid w:val="00D037D9"/>
    <w:rsid w:val="00D03809"/>
    <w:rsid w:val="00D06F0E"/>
    <w:rsid w:val="00D0731B"/>
    <w:rsid w:val="00D074FF"/>
    <w:rsid w:val="00D100D0"/>
    <w:rsid w:val="00D11D1F"/>
    <w:rsid w:val="00D12B35"/>
    <w:rsid w:val="00D1440C"/>
    <w:rsid w:val="00D1479C"/>
    <w:rsid w:val="00D1602E"/>
    <w:rsid w:val="00D16113"/>
    <w:rsid w:val="00D1638B"/>
    <w:rsid w:val="00D1674B"/>
    <w:rsid w:val="00D1686E"/>
    <w:rsid w:val="00D16C4C"/>
    <w:rsid w:val="00D172EF"/>
    <w:rsid w:val="00D2010E"/>
    <w:rsid w:val="00D219D8"/>
    <w:rsid w:val="00D22F0B"/>
    <w:rsid w:val="00D248A4"/>
    <w:rsid w:val="00D25876"/>
    <w:rsid w:val="00D26AB0"/>
    <w:rsid w:val="00D2771E"/>
    <w:rsid w:val="00D27954"/>
    <w:rsid w:val="00D30270"/>
    <w:rsid w:val="00D3151C"/>
    <w:rsid w:val="00D31A98"/>
    <w:rsid w:val="00D31B0E"/>
    <w:rsid w:val="00D31C78"/>
    <w:rsid w:val="00D32AB7"/>
    <w:rsid w:val="00D34667"/>
    <w:rsid w:val="00D36300"/>
    <w:rsid w:val="00D36CC7"/>
    <w:rsid w:val="00D37C5D"/>
    <w:rsid w:val="00D4003D"/>
    <w:rsid w:val="00D40CF8"/>
    <w:rsid w:val="00D44A81"/>
    <w:rsid w:val="00D44BAE"/>
    <w:rsid w:val="00D44F17"/>
    <w:rsid w:val="00D45344"/>
    <w:rsid w:val="00D50A4E"/>
    <w:rsid w:val="00D50EEE"/>
    <w:rsid w:val="00D51203"/>
    <w:rsid w:val="00D51D21"/>
    <w:rsid w:val="00D521C6"/>
    <w:rsid w:val="00D52F05"/>
    <w:rsid w:val="00D52FCF"/>
    <w:rsid w:val="00D53264"/>
    <w:rsid w:val="00D535E4"/>
    <w:rsid w:val="00D53742"/>
    <w:rsid w:val="00D5377B"/>
    <w:rsid w:val="00D53846"/>
    <w:rsid w:val="00D550F4"/>
    <w:rsid w:val="00D556F0"/>
    <w:rsid w:val="00D55DC5"/>
    <w:rsid w:val="00D560BC"/>
    <w:rsid w:val="00D57B3F"/>
    <w:rsid w:val="00D6054A"/>
    <w:rsid w:val="00D60ED2"/>
    <w:rsid w:val="00D62227"/>
    <w:rsid w:val="00D624B4"/>
    <w:rsid w:val="00D62569"/>
    <w:rsid w:val="00D629A6"/>
    <w:rsid w:val="00D63221"/>
    <w:rsid w:val="00D63DEF"/>
    <w:rsid w:val="00D63E1B"/>
    <w:rsid w:val="00D6435D"/>
    <w:rsid w:val="00D66D5E"/>
    <w:rsid w:val="00D67854"/>
    <w:rsid w:val="00D67AA2"/>
    <w:rsid w:val="00D73484"/>
    <w:rsid w:val="00D74960"/>
    <w:rsid w:val="00D757E7"/>
    <w:rsid w:val="00D76105"/>
    <w:rsid w:val="00D76108"/>
    <w:rsid w:val="00D81F65"/>
    <w:rsid w:val="00D82E9D"/>
    <w:rsid w:val="00D8375C"/>
    <w:rsid w:val="00D83C7D"/>
    <w:rsid w:val="00D854A1"/>
    <w:rsid w:val="00D856E1"/>
    <w:rsid w:val="00D85CFE"/>
    <w:rsid w:val="00D86732"/>
    <w:rsid w:val="00D8711D"/>
    <w:rsid w:val="00D8795E"/>
    <w:rsid w:val="00D900B2"/>
    <w:rsid w:val="00D90F07"/>
    <w:rsid w:val="00D90F92"/>
    <w:rsid w:val="00D959E2"/>
    <w:rsid w:val="00D95C96"/>
    <w:rsid w:val="00D95FBB"/>
    <w:rsid w:val="00D96FD1"/>
    <w:rsid w:val="00D97E57"/>
    <w:rsid w:val="00DA0577"/>
    <w:rsid w:val="00DA2671"/>
    <w:rsid w:val="00DA2F04"/>
    <w:rsid w:val="00DA35BC"/>
    <w:rsid w:val="00DA53E6"/>
    <w:rsid w:val="00DA73D9"/>
    <w:rsid w:val="00DB07EA"/>
    <w:rsid w:val="00DB2031"/>
    <w:rsid w:val="00DB2310"/>
    <w:rsid w:val="00DB33BF"/>
    <w:rsid w:val="00DB3A29"/>
    <w:rsid w:val="00DB423E"/>
    <w:rsid w:val="00DB4546"/>
    <w:rsid w:val="00DB69ED"/>
    <w:rsid w:val="00DB7CCA"/>
    <w:rsid w:val="00DB7D32"/>
    <w:rsid w:val="00DC0A92"/>
    <w:rsid w:val="00DC33E5"/>
    <w:rsid w:val="00DC4099"/>
    <w:rsid w:val="00DC4218"/>
    <w:rsid w:val="00DC4EF0"/>
    <w:rsid w:val="00DC5056"/>
    <w:rsid w:val="00DC5829"/>
    <w:rsid w:val="00DC5E1F"/>
    <w:rsid w:val="00DC5F6A"/>
    <w:rsid w:val="00DC786B"/>
    <w:rsid w:val="00DD092D"/>
    <w:rsid w:val="00DD31A0"/>
    <w:rsid w:val="00DD40CA"/>
    <w:rsid w:val="00DD4365"/>
    <w:rsid w:val="00DD534E"/>
    <w:rsid w:val="00DD564A"/>
    <w:rsid w:val="00DD687E"/>
    <w:rsid w:val="00DE0A45"/>
    <w:rsid w:val="00DE0EC9"/>
    <w:rsid w:val="00DE2663"/>
    <w:rsid w:val="00DE2697"/>
    <w:rsid w:val="00DE4C7E"/>
    <w:rsid w:val="00DE5386"/>
    <w:rsid w:val="00DE54D0"/>
    <w:rsid w:val="00DE7AC1"/>
    <w:rsid w:val="00DE7D84"/>
    <w:rsid w:val="00DF0A00"/>
    <w:rsid w:val="00DF0C78"/>
    <w:rsid w:val="00DF2031"/>
    <w:rsid w:val="00DF3161"/>
    <w:rsid w:val="00DF3362"/>
    <w:rsid w:val="00DF4046"/>
    <w:rsid w:val="00DF476D"/>
    <w:rsid w:val="00DF4815"/>
    <w:rsid w:val="00DF5A53"/>
    <w:rsid w:val="00DF5DA9"/>
    <w:rsid w:val="00DF6790"/>
    <w:rsid w:val="00E0068C"/>
    <w:rsid w:val="00E00E05"/>
    <w:rsid w:val="00E01234"/>
    <w:rsid w:val="00E0518A"/>
    <w:rsid w:val="00E0760A"/>
    <w:rsid w:val="00E077C7"/>
    <w:rsid w:val="00E14AFC"/>
    <w:rsid w:val="00E154B8"/>
    <w:rsid w:val="00E15BE2"/>
    <w:rsid w:val="00E20FCE"/>
    <w:rsid w:val="00E24687"/>
    <w:rsid w:val="00E24AAB"/>
    <w:rsid w:val="00E24CB7"/>
    <w:rsid w:val="00E24F06"/>
    <w:rsid w:val="00E25278"/>
    <w:rsid w:val="00E2565D"/>
    <w:rsid w:val="00E25A9B"/>
    <w:rsid w:val="00E2696F"/>
    <w:rsid w:val="00E27D36"/>
    <w:rsid w:val="00E31C38"/>
    <w:rsid w:val="00E31ED5"/>
    <w:rsid w:val="00E32179"/>
    <w:rsid w:val="00E33E9D"/>
    <w:rsid w:val="00E3416E"/>
    <w:rsid w:val="00E34454"/>
    <w:rsid w:val="00E367BE"/>
    <w:rsid w:val="00E36A58"/>
    <w:rsid w:val="00E36BB3"/>
    <w:rsid w:val="00E37227"/>
    <w:rsid w:val="00E42347"/>
    <w:rsid w:val="00E426E3"/>
    <w:rsid w:val="00E42AE1"/>
    <w:rsid w:val="00E42D26"/>
    <w:rsid w:val="00E43367"/>
    <w:rsid w:val="00E44CD6"/>
    <w:rsid w:val="00E46209"/>
    <w:rsid w:val="00E46894"/>
    <w:rsid w:val="00E50835"/>
    <w:rsid w:val="00E50B1C"/>
    <w:rsid w:val="00E5498F"/>
    <w:rsid w:val="00E56189"/>
    <w:rsid w:val="00E6091D"/>
    <w:rsid w:val="00E60BEC"/>
    <w:rsid w:val="00E6193F"/>
    <w:rsid w:val="00E61D87"/>
    <w:rsid w:val="00E63C37"/>
    <w:rsid w:val="00E64EF0"/>
    <w:rsid w:val="00E65135"/>
    <w:rsid w:val="00E65900"/>
    <w:rsid w:val="00E66098"/>
    <w:rsid w:val="00E665E9"/>
    <w:rsid w:val="00E66A40"/>
    <w:rsid w:val="00E67EC7"/>
    <w:rsid w:val="00E7127B"/>
    <w:rsid w:val="00E72B63"/>
    <w:rsid w:val="00E731AC"/>
    <w:rsid w:val="00E73273"/>
    <w:rsid w:val="00E734FA"/>
    <w:rsid w:val="00E7383C"/>
    <w:rsid w:val="00E740C5"/>
    <w:rsid w:val="00E74245"/>
    <w:rsid w:val="00E753BB"/>
    <w:rsid w:val="00E756E2"/>
    <w:rsid w:val="00E76FC3"/>
    <w:rsid w:val="00E80BB4"/>
    <w:rsid w:val="00E838F1"/>
    <w:rsid w:val="00E83E0B"/>
    <w:rsid w:val="00E843CC"/>
    <w:rsid w:val="00E85D2F"/>
    <w:rsid w:val="00E87894"/>
    <w:rsid w:val="00E90CEA"/>
    <w:rsid w:val="00E90EA2"/>
    <w:rsid w:val="00E913BC"/>
    <w:rsid w:val="00E914BF"/>
    <w:rsid w:val="00E92097"/>
    <w:rsid w:val="00E92B9A"/>
    <w:rsid w:val="00E97ADA"/>
    <w:rsid w:val="00EA1D56"/>
    <w:rsid w:val="00EA366E"/>
    <w:rsid w:val="00EA3E99"/>
    <w:rsid w:val="00EA3F8A"/>
    <w:rsid w:val="00EA4938"/>
    <w:rsid w:val="00EA56DB"/>
    <w:rsid w:val="00EA5AEC"/>
    <w:rsid w:val="00EB0710"/>
    <w:rsid w:val="00EB0CE0"/>
    <w:rsid w:val="00EB0FD6"/>
    <w:rsid w:val="00EB139A"/>
    <w:rsid w:val="00EB184A"/>
    <w:rsid w:val="00EB26AE"/>
    <w:rsid w:val="00EB2F93"/>
    <w:rsid w:val="00EB3A5C"/>
    <w:rsid w:val="00EB4FB4"/>
    <w:rsid w:val="00EB7B06"/>
    <w:rsid w:val="00EC2354"/>
    <w:rsid w:val="00EC2358"/>
    <w:rsid w:val="00EC31CA"/>
    <w:rsid w:val="00EC35E2"/>
    <w:rsid w:val="00EC394A"/>
    <w:rsid w:val="00EC5179"/>
    <w:rsid w:val="00EC5672"/>
    <w:rsid w:val="00EC5F9A"/>
    <w:rsid w:val="00EC620D"/>
    <w:rsid w:val="00EC656F"/>
    <w:rsid w:val="00EC6995"/>
    <w:rsid w:val="00ED0A44"/>
    <w:rsid w:val="00ED0B86"/>
    <w:rsid w:val="00ED13B7"/>
    <w:rsid w:val="00ED3809"/>
    <w:rsid w:val="00ED38B3"/>
    <w:rsid w:val="00ED3AB5"/>
    <w:rsid w:val="00ED44A7"/>
    <w:rsid w:val="00ED4599"/>
    <w:rsid w:val="00ED57DF"/>
    <w:rsid w:val="00ED5BDB"/>
    <w:rsid w:val="00ED60D4"/>
    <w:rsid w:val="00ED6656"/>
    <w:rsid w:val="00EE014E"/>
    <w:rsid w:val="00EE0ABF"/>
    <w:rsid w:val="00EE3C5A"/>
    <w:rsid w:val="00EE5217"/>
    <w:rsid w:val="00EE6A1B"/>
    <w:rsid w:val="00EE6B53"/>
    <w:rsid w:val="00EE7604"/>
    <w:rsid w:val="00EF059F"/>
    <w:rsid w:val="00EF06C3"/>
    <w:rsid w:val="00EF10C0"/>
    <w:rsid w:val="00EF2F44"/>
    <w:rsid w:val="00EF4E4C"/>
    <w:rsid w:val="00EF532E"/>
    <w:rsid w:val="00EF5D72"/>
    <w:rsid w:val="00EF6042"/>
    <w:rsid w:val="00EF60C6"/>
    <w:rsid w:val="00EF6188"/>
    <w:rsid w:val="00EF672B"/>
    <w:rsid w:val="00EF6A8E"/>
    <w:rsid w:val="00F00D1A"/>
    <w:rsid w:val="00F023BA"/>
    <w:rsid w:val="00F0319B"/>
    <w:rsid w:val="00F04498"/>
    <w:rsid w:val="00F05AB9"/>
    <w:rsid w:val="00F060CF"/>
    <w:rsid w:val="00F067A7"/>
    <w:rsid w:val="00F10F93"/>
    <w:rsid w:val="00F110B7"/>
    <w:rsid w:val="00F11FC1"/>
    <w:rsid w:val="00F12A11"/>
    <w:rsid w:val="00F1409D"/>
    <w:rsid w:val="00F14C2B"/>
    <w:rsid w:val="00F15093"/>
    <w:rsid w:val="00F16E96"/>
    <w:rsid w:val="00F1759B"/>
    <w:rsid w:val="00F20292"/>
    <w:rsid w:val="00F22BC3"/>
    <w:rsid w:val="00F24012"/>
    <w:rsid w:val="00F25178"/>
    <w:rsid w:val="00F272A7"/>
    <w:rsid w:val="00F314C5"/>
    <w:rsid w:val="00F314FD"/>
    <w:rsid w:val="00F33293"/>
    <w:rsid w:val="00F3441B"/>
    <w:rsid w:val="00F37048"/>
    <w:rsid w:val="00F37B23"/>
    <w:rsid w:val="00F417A7"/>
    <w:rsid w:val="00F43188"/>
    <w:rsid w:val="00F43572"/>
    <w:rsid w:val="00F44E6A"/>
    <w:rsid w:val="00F46BF9"/>
    <w:rsid w:val="00F508A5"/>
    <w:rsid w:val="00F51CE4"/>
    <w:rsid w:val="00F532F8"/>
    <w:rsid w:val="00F53D61"/>
    <w:rsid w:val="00F5400D"/>
    <w:rsid w:val="00F56D93"/>
    <w:rsid w:val="00F602F1"/>
    <w:rsid w:val="00F65E76"/>
    <w:rsid w:val="00F67823"/>
    <w:rsid w:val="00F704F0"/>
    <w:rsid w:val="00F713C4"/>
    <w:rsid w:val="00F717D9"/>
    <w:rsid w:val="00F74D45"/>
    <w:rsid w:val="00F75288"/>
    <w:rsid w:val="00F75295"/>
    <w:rsid w:val="00F765E1"/>
    <w:rsid w:val="00F76B17"/>
    <w:rsid w:val="00F76B86"/>
    <w:rsid w:val="00F76CFF"/>
    <w:rsid w:val="00F80005"/>
    <w:rsid w:val="00F80F9E"/>
    <w:rsid w:val="00F82744"/>
    <w:rsid w:val="00F8277E"/>
    <w:rsid w:val="00F827BC"/>
    <w:rsid w:val="00F83561"/>
    <w:rsid w:val="00F841DB"/>
    <w:rsid w:val="00F862C7"/>
    <w:rsid w:val="00F8644B"/>
    <w:rsid w:val="00F87AA9"/>
    <w:rsid w:val="00F91B09"/>
    <w:rsid w:val="00F91F90"/>
    <w:rsid w:val="00F95D7E"/>
    <w:rsid w:val="00F95D83"/>
    <w:rsid w:val="00FA2334"/>
    <w:rsid w:val="00FA2F39"/>
    <w:rsid w:val="00FA4134"/>
    <w:rsid w:val="00FA430A"/>
    <w:rsid w:val="00FA4A5A"/>
    <w:rsid w:val="00FA527E"/>
    <w:rsid w:val="00FA5F61"/>
    <w:rsid w:val="00FA6EAF"/>
    <w:rsid w:val="00FA758D"/>
    <w:rsid w:val="00FA7C05"/>
    <w:rsid w:val="00FA7DF5"/>
    <w:rsid w:val="00FB31F3"/>
    <w:rsid w:val="00FB42FB"/>
    <w:rsid w:val="00FB5062"/>
    <w:rsid w:val="00FB61E4"/>
    <w:rsid w:val="00FC1D60"/>
    <w:rsid w:val="00FC2568"/>
    <w:rsid w:val="00FC26DD"/>
    <w:rsid w:val="00FC2701"/>
    <w:rsid w:val="00FC271B"/>
    <w:rsid w:val="00FC3849"/>
    <w:rsid w:val="00FC4181"/>
    <w:rsid w:val="00FC457E"/>
    <w:rsid w:val="00FC560F"/>
    <w:rsid w:val="00FC57B1"/>
    <w:rsid w:val="00FC57D4"/>
    <w:rsid w:val="00FC583A"/>
    <w:rsid w:val="00FD2E5D"/>
    <w:rsid w:val="00FD3A8C"/>
    <w:rsid w:val="00FD434F"/>
    <w:rsid w:val="00FD4BC3"/>
    <w:rsid w:val="00FD5104"/>
    <w:rsid w:val="00FD645B"/>
    <w:rsid w:val="00FD76DE"/>
    <w:rsid w:val="00FE1078"/>
    <w:rsid w:val="00FE1D10"/>
    <w:rsid w:val="00FE246D"/>
    <w:rsid w:val="00FE2668"/>
    <w:rsid w:val="00FE3C5B"/>
    <w:rsid w:val="00FE3DD9"/>
    <w:rsid w:val="00FE3FD6"/>
    <w:rsid w:val="00FE4422"/>
    <w:rsid w:val="00FE4DDA"/>
    <w:rsid w:val="00FE5E32"/>
    <w:rsid w:val="00FE642E"/>
    <w:rsid w:val="00FE6A35"/>
    <w:rsid w:val="00FE701F"/>
    <w:rsid w:val="00FE776B"/>
    <w:rsid w:val="00FE7DAC"/>
    <w:rsid w:val="00FF1860"/>
    <w:rsid w:val="00FF3794"/>
    <w:rsid w:val="00FF41E6"/>
    <w:rsid w:val="00FF6746"/>
    <w:rsid w:val="00FF6B7F"/>
    <w:rsid w:val="010F6113"/>
    <w:rsid w:val="01121865"/>
    <w:rsid w:val="01152ED1"/>
    <w:rsid w:val="011D16D2"/>
    <w:rsid w:val="0123402B"/>
    <w:rsid w:val="01252C57"/>
    <w:rsid w:val="0126481C"/>
    <w:rsid w:val="01293A10"/>
    <w:rsid w:val="01360D2B"/>
    <w:rsid w:val="013B50D4"/>
    <w:rsid w:val="0142397D"/>
    <w:rsid w:val="01465B62"/>
    <w:rsid w:val="014A2DF4"/>
    <w:rsid w:val="014A4389"/>
    <w:rsid w:val="014B0F2F"/>
    <w:rsid w:val="014C7B44"/>
    <w:rsid w:val="015147CC"/>
    <w:rsid w:val="01542D24"/>
    <w:rsid w:val="015D45BB"/>
    <w:rsid w:val="015E1BE0"/>
    <w:rsid w:val="015F1A7F"/>
    <w:rsid w:val="016347D7"/>
    <w:rsid w:val="01640823"/>
    <w:rsid w:val="016C45A7"/>
    <w:rsid w:val="01720461"/>
    <w:rsid w:val="017E757D"/>
    <w:rsid w:val="018360DF"/>
    <w:rsid w:val="018C48B6"/>
    <w:rsid w:val="01952A49"/>
    <w:rsid w:val="019540FE"/>
    <w:rsid w:val="0198560B"/>
    <w:rsid w:val="019A5D05"/>
    <w:rsid w:val="019A7627"/>
    <w:rsid w:val="01A57C34"/>
    <w:rsid w:val="01BA12AE"/>
    <w:rsid w:val="01C13BDA"/>
    <w:rsid w:val="01C1586A"/>
    <w:rsid w:val="01C51289"/>
    <w:rsid w:val="01C80EBE"/>
    <w:rsid w:val="01CA6766"/>
    <w:rsid w:val="01D229E4"/>
    <w:rsid w:val="01D864E2"/>
    <w:rsid w:val="01D917B5"/>
    <w:rsid w:val="01DE5407"/>
    <w:rsid w:val="01E07391"/>
    <w:rsid w:val="01EB7B53"/>
    <w:rsid w:val="01EE2933"/>
    <w:rsid w:val="01F01896"/>
    <w:rsid w:val="01F2632F"/>
    <w:rsid w:val="01F5065B"/>
    <w:rsid w:val="01FE3E27"/>
    <w:rsid w:val="02050F3C"/>
    <w:rsid w:val="020C75BA"/>
    <w:rsid w:val="020F1B69"/>
    <w:rsid w:val="02102D71"/>
    <w:rsid w:val="02107115"/>
    <w:rsid w:val="02151FE0"/>
    <w:rsid w:val="0215310D"/>
    <w:rsid w:val="02193393"/>
    <w:rsid w:val="021D5E18"/>
    <w:rsid w:val="02213B30"/>
    <w:rsid w:val="0223690C"/>
    <w:rsid w:val="0224180E"/>
    <w:rsid w:val="022905D0"/>
    <w:rsid w:val="02315FE1"/>
    <w:rsid w:val="023A6DEF"/>
    <w:rsid w:val="023E3005"/>
    <w:rsid w:val="024056E3"/>
    <w:rsid w:val="025844F2"/>
    <w:rsid w:val="025F06E5"/>
    <w:rsid w:val="026409E2"/>
    <w:rsid w:val="02684E30"/>
    <w:rsid w:val="0269056F"/>
    <w:rsid w:val="026D6A0D"/>
    <w:rsid w:val="028C2269"/>
    <w:rsid w:val="0293098E"/>
    <w:rsid w:val="02937BA6"/>
    <w:rsid w:val="029732E4"/>
    <w:rsid w:val="02A83DED"/>
    <w:rsid w:val="02A94CA6"/>
    <w:rsid w:val="02AC4E9D"/>
    <w:rsid w:val="02B10DD8"/>
    <w:rsid w:val="02B31797"/>
    <w:rsid w:val="02BD44A9"/>
    <w:rsid w:val="02C5745C"/>
    <w:rsid w:val="02C95E82"/>
    <w:rsid w:val="02C96C1C"/>
    <w:rsid w:val="02D844B0"/>
    <w:rsid w:val="02DB65A7"/>
    <w:rsid w:val="02DC38C1"/>
    <w:rsid w:val="02E041E3"/>
    <w:rsid w:val="02E1097C"/>
    <w:rsid w:val="02F0265A"/>
    <w:rsid w:val="02FB5DC0"/>
    <w:rsid w:val="030135EF"/>
    <w:rsid w:val="03024D75"/>
    <w:rsid w:val="030466D0"/>
    <w:rsid w:val="0307072A"/>
    <w:rsid w:val="03162B61"/>
    <w:rsid w:val="03186EC8"/>
    <w:rsid w:val="031C5774"/>
    <w:rsid w:val="031D5712"/>
    <w:rsid w:val="03234BC8"/>
    <w:rsid w:val="033E37A7"/>
    <w:rsid w:val="03402B14"/>
    <w:rsid w:val="03523EB1"/>
    <w:rsid w:val="03542C85"/>
    <w:rsid w:val="035B2FFE"/>
    <w:rsid w:val="03655038"/>
    <w:rsid w:val="036872F9"/>
    <w:rsid w:val="0368766E"/>
    <w:rsid w:val="036B1984"/>
    <w:rsid w:val="037272FA"/>
    <w:rsid w:val="03792F76"/>
    <w:rsid w:val="0383012C"/>
    <w:rsid w:val="038B6711"/>
    <w:rsid w:val="039906CA"/>
    <w:rsid w:val="039925D3"/>
    <w:rsid w:val="039A3CBE"/>
    <w:rsid w:val="039E694E"/>
    <w:rsid w:val="03A20786"/>
    <w:rsid w:val="03A848D3"/>
    <w:rsid w:val="03AD31E0"/>
    <w:rsid w:val="03AF4211"/>
    <w:rsid w:val="03B0784C"/>
    <w:rsid w:val="03B709A5"/>
    <w:rsid w:val="03B928B0"/>
    <w:rsid w:val="03BB51C5"/>
    <w:rsid w:val="03C51C1E"/>
    <w:rsid w:val="03C63188"/>
    <w:rsid w:val="03D218ED"/>
    <w:rsid w:val="03E3141C"/>
    <w:rsid w:val="03E94340"/>
    <w:rsid w:val="03EE5067"/>
    <w:rsid w:val="04011347"/>
    <w:rsid w:val="040D3F0A"/>
    <w:rsid w:val="04195E46"/>
    <w:rsid w:val="04254C68"/>
    <w:rsid w:val="042E5E40"/>
    <w:rsid w:val="0443240D"/>
    <w:rsid w:val="044A1FF0"/>
    <w:rsid w:val="044B3CD4"/>
    <w:rsid w:val="044E0851"/>
    <w:rsid w:val="04513BA5"/>
    <w:rsid w:val="045A2A53"/>
    <w:rsid w:val="045F4BFD"/>
    <w:rsid w:val="045F647E"/>
    <w:rsid w:val="04700A4E"/>
    <w:rsid w:val="047173DE"/>
    <w:rsid w:val="047C6CD4"/>
    <w:rsid w:val="048655B6"/>
    <w:rsid w:val="048D66D7"/>
    <w:rsid w:val="04920C6B"/>
    <w:rsid w:val="04B0209F"/>
    <w:rsid w:val="04B153A5"/>
    <w:rsid w:val="04B21CD4"/>
    <w:rsid w:val="04B41DF2"/>
    <w:rsid w:val="04B63E4F"/>
    <w:rsid w:val="04B64A9B"/>
    <w:rsid w:val="04BA7EDF"/>
    <w:rsid w:val="04BB386A"/>
    <w:rsid w:val="04C26296"/>
    <w:rsid w:val="04C329F0"/>
    <w:rsid w:val="04C669AD"/>
    <w:rsid w:val="04C8737E"/>
    <w:rsid w:val="04CD3916"/>
    <w:rsid w:val="04CE2A3A"/>
    <w:rsid w:val="04E33FF3"/>
    <w:rsid w:val="04E52F3C"/>
    <w:rsid w:val="04E62212"/>
    <w:rsid w:val="04EA2A67"/>
    <w:rsid w:val="04EB4EED"/>
    <w:rsid w:val="04EC009B"/>
    <w:rsid w:val="04F43936"/>
    <w:rsid w:val="04F660F7"/>
    <w:rsid w:val="05072A0A"/>
    <w:rsid w:val="050E06C8"/>
    <w:rsid w:val="050E1155"/>
    <w:rsid w:val="05114014"/>
    <w:rsid w:val="051421B2"/>
    <w:rsid w:val="05142BAA"/>
    <w:rsid w:val="051A36D9"/>
    <w:rsid w:val="0520784E"/>
    <w:rsid w:val="052374D8"/>
    <w:rsid w:val="0533632A"/>
    <w:rsid w:val="053A0B4E"/>
    <w:rsid w:val="053E2047"/>
    <w:rsid w:val="053E60FA"/>
    <w:rsid w:val="05413FA5"/>
    <w:rsid w:val="05462CD4"/>
    <w:rsid w:val="05463F07"/>
    <w:rsid w:val="05496C5A"/>
    <w:rsid w:val="05515701"/>
    <w:rsid w:val="05532142"/>
    <w:rsid w:val="056F7ECD"/>
    <w:rsid w:val="05723CF3"/>
    <w:rsid w:val="05725C14"/>
    <w:rsid w:val="057C2BFD"/>
    <w:rsid w:val="057F4803"/>
    <w:rsid w:val="057F5510"/>
    <w:rsid w:val="05827157"/>
    <w:rsid w:val="058703D1"/>
    <w:rsid w:val="058C08A5"/>
    <w:rsid w:val="058F758E"/>
    <w:rsid w:val="059621E7"/>
    <w:rsid w:val="05997E8B"/>
    <w:rsid w:val="059C6455"/>
    <w:rsid w:val="05A463FC"/>
    <w:rsid w:val="05AB4D25"/>
    <w:rsid w:val="05B2750B"/>
    <w:rsid w:val="05B521FB"/>
    <w:rsid w:val="05B65B67"/>
    <w:rsid w:val="05B7229A"/>
    <w:rsid w:val="05BE206A"/>
    <w:rsid w:val="05C768D7"/>
    <w:rsid w:val="05CA4916"/>
    <w:rsid w:val="05D160A8"/>
    <w:rsid w:val="05D434DE"/>
    <w:rsid w:val="05E3295D"/>
    <w:rsid w:val="05F065D6"/>
    <w:rsid w:val="05F121A9"/>
    <w:rsid w:val="05F27AF6"/>
    <w:rsid w:val="05F81055"/>
    <w:rsid w:val="05FC4456"/>
    <w:rsid w:val="060166A5"/>
    <w:rsid w:val="060F000D"/>
    <w:rsid w:val="061829D9"/>
    <w:rsid w:val="061A43B8"/>
    <w:rsid w:val="061C25D1"/>
    <w:rsid w:val="06234F2A"/>
    <w:rsid w:val="062418AE"/>
    <w:rsid w:val="0625122D"/>
    <w:rsid w:val="06352BFE"/>
    <w:rsid w:val="06396777"/>
    <w:rsid w:val="063B3638"/>
    <w:rsid w:val="063B5708"/>
    <w:rsid w:val="063C0217"/>
    <w:rsid w:val="0645139F"/>
    <w:rsid w:val="06465232"/>
    <w:rsid w:val="064C1C74"/>
    <w:rsid w:val="064E5B4F"/>
    <w:rsid w:val="064E75C8"/>
    <w:rsid w:val="064F4AE1"/>
    <w:rsid w:val="06503967"/>
    <w:rsid w:val="06557FD6"/>
    <w:rsid w:val="06603905"/>
    <w:rsid w:val="06625A8B"/>
    <w:rsid w:val="066C6218"/>
    <w:rsid w:val="066D1812"/>
    <w:rsid w:val="067751FC"/>
    <w:rsid w:val="067E5F7C"/>
    <w:rsid w:val="06834D90"/>
    <w:rsid w:val="068617D0"/>
    <w:rsid w:val="06886BF7"/>
    <w:rsid w:val="06951329"/>
    <w:rsid w:val="06954E62"/>
    <w:rsid w:val="06A44D39"/>
    <w:rsid w:val="06A67D81"/>
    <w:rsid w:val="06AF7959"/>
    <w:rsid w:val="06B36DA1"/>
    <w:rsid w:val="06B5404D"/>
    <w:rsid w:val="06B64585"/>
    <w:rsid w:val="06B90104"/>
    <w:rsid w:val="06BF6E69"/>
    <w:rsid w:val="06C07699"/>
    <w:rsid w:val="06CD0C04"/>
    <w:rsid w:val="06D84762"/>
    <w:rsid w:val="06DC6D1E"/>
    <w:rsid w:val="06DF3284"/>
    <w:rsid w:val="06E453FE"/>
    <w:rsid w:val="06EF7575"/>
    <w:rsid w:val="06F25F2D"/>
    <w:rsid w:val="06F86398"/>
    <w:rsid w:val="06FA2E34"/>
    <w:rsid w:val="06FB1C90"/>
    <w:rsid w:val="06FF7F8B"/>
    <w:rsid w:val="0700767E"/>
    <w:rsid w:val="07061DBF"/>
    <w:rsid w:val="07064D35"/>
    <w:rsid w:val="07077FAD"/>
    <w:rsid w:val="070F1958"/>
    <w:rsid w:val="07143CB9"/>
    <w:rsid w:val="07150B23"/>
    <w:rsid w:val="072159FB"/>
    <w:rsid w:val="07240F35"/>
    <w:rsid w:val="0729666F"/>
    <w:rsid w:val="072A0A7B"/>
    <w:rsid w:val="072C41BD"/>
    <w:rsid w:val="072E73B5"/>
    <w:rsid w:val="073F3274"/>
    <w:rsid w:val="07487295"/>
    <w:rsid w:val="07526B97"/>
    <w:rsid w:val="07593B0F"/>
    <w:rsid w:val="075D33D5"/>
    <w:rsid w:val="07602500"/>
    <w:rsid w:val="07655121"/>
    <w:rsid w:val="076A0B68"/>
    <w:rsid w:val="076A22D9"/>
    <w:rsid w:val="076A4B72"/>
    <w:rsid w:val="076B174C"/>
    <w:rsid w:val="077416B5"/>
    <w:rsid w:val="077D1A46"/>
    <w:rsid w:val="0781725A"/>
    <w:rsid w:val="0782496B"/>
    <w:rsid w:val="078A0DB2"/>
    <w:rsid w:val="078B30C5"/>
    <w:rsid w:val="078F62E9"/>
    <w:rsid w:val="079978B1"/>
    <w:rsid w:val="079C5F8D"/>
    <w:rsid w:val="079F11CD"/>
    <w:rsid w:val="07A228F2"/>
    <w:rsid w:val="07A61882"/>
    <w:rsid w:val="07AA4013"/>
    <w:rsid w:val="07B17283"/>
    <w:rsid w:val="07B355F4"/>
    <w:rsid w:val="07B619DF"/>
    <w:rsid w:val="07B72711"/>
    <w:rsid w:val="07B83AA0"/>
    <w:rsid w:val="07BB0280"/>
    <w:rsid w:val="07BF742E"/>
    <w:rsid w:val="07C10049"/>
    <w:rsid w:val="07C14DF1"/>
    <w:rsid w:val="07C562C6"/>
    <w:rsid w:val="07C80E09"/>
    <w:rsid w:val="07C847DE"/>
    <w:rsid w:val="07E252B0"/>
    <w:rsid w:val="07E42A90"/>
    <w:rsid w:val="07F30357"/>
    <w:rsid w:val="07F571C1"/>
    <w:rsid w:val="07F918D3"/>
    <w:rsid w:val="07FF7308"/>
    <w:rsid w:val="08005DA1"/>
    <w:rsid w:val="08045CB1"/>
    <w:rsid w:val="0817251A"/>
    <w:rsid w:val="081C0B77"/>
    <w:rsid w:val="081D54AB"/>
    <w:rsid w:val="081D6C42"/>
    <w:rsid w:val="081F7484"/>
    <w:rsid w:val="082334EF"/>
    <w:rsid w:val="0826719D"/>
    <w:rsid w:val="082E30B2"/>
    <w:rsid w:val="08336713"/>
    <w:rsid w:val="0836684F"/>
    <w:rsid w:val="083A57C7"/>
    <w:rsid w:val="083F7996"/>
    <w:rsid w:val="08464A1F"/>
    <w:rsid w:val="084A48EB"/>
    <w:rsid w:val="08541C84"/>
    <w:rsid w:val="085A44D8"/>
    <w:rsid w:val="08636C42"/>
    <w:rsid w:val="08676548"/>
    <w:rsid w:val="086F5339"/>
    <w:rsid w:val="08741047"/>
    <w:rsid w:val="08784F59"/>
    <w:rsid w:val="0879373B"/>
    <w:rsid w:val="087A135B"/>
    <w:rsid w:val="087F5CA8"/>
    <w:rsid w:val="0880652C"/>
    <w:rsid w:val="08846754"/>
    <w:rsid w:val="08881DC7"/>
    <w:rsid w:val="08956D09"/>
    <w:rsid w:val="089636ED"/>
    <w:rsid w:val="08973503"/>
    <w:rsid w:val="0897649C"/>
    <w:rsid w:val="08991988"/>
    <w:rsid w:val="08A06F4E"/>
    <w:rsid w:val="08A20F1F"/>
    <w:rsid w:val="08AB1D18"/>
    <w:rsid w:val="08AC7578"/>
    <w:rsid w:val="08BD05F5"/>
    <w:rsid w:val="08BD42DB"/>
    <w:rsid w:val="08BE54D6"/>
    <w:rsid w:val="08BF477D"/>
    <w:rsid w:val="08D3116B"/>
    <w:rsid w:val="08DB1077"/>
    <w:rsid w:val="08DF6B64"/>
    <w:rsid w:val="08E841F5"/>
    <w:rsid w:val="08EB7931"/>
    <w:rsid w:val="08EC63BC"/>
    <w:rsid w:val="08ED138A"/>
    <w:rsid w:val="08EF6EDC"/>
    <w:rsid w:val="08F5715A"/>
    <w:rsid w:val="08FC18A1"/>
    <w:rsid w:val="08FC4078"/>
    <w:rsid w:val="08FE5E3E"/>
    <w:rsid w:val="08FF5103"/>
    <w:rsid w:val="09043B58"/>
    <w:rsid w:val="090B0468"/>
    <w:rsid w:val="091273F1"/>
    <w:rsid w:val="09171DD1"/>
    <w:rsid w:val="092B0415"/>
    <w:rsid w:val="092D2D67"/>
    <w:rsid w:val="092E3EF9"/>
    <w:rsid w:val="092F2AD6"/>
    <w:rsid w:val="09372646"/>
    <w:rsid w:val="09391418"/>
    <w:rsid w:val="094A5476"/>
    <w:rsid w:val="094B3822"/>
    <w:rsid w:val="094E680C"/>
    <w:rsid w:val="09521E9B"/>
    <w:rsid w:val="09586C84"/>
    <w:rsid w:val="095D1447"/>
    <w:rsid w:val="095E4FB8"/>
    <w:rsid w:val="09615BFE"/>
    <w:rsid w:val="09645407"/>
    <w:rsid w:val="096C4F5D"/>
    <w:rsid w:val="096F1CDC"/>
    <w:rsid w:val="096F5C3C"/>
    <w:rsid w:val="09700BF7"/>
    <w:rsid w:val="09770489"/>
    <w:rsid w:val="097D56F0"/>
    <w:rsid w:val="098006AC"/>
    <w:rsid w:val="09844683"/>
    <w:rsid w:val="09943DCD"/>
    <w:rsid w:val="099C2D75"/>
    <w:rsid w:val="09AB093A"/>
    <w:rsid w:val="09B2062E"/>
    <w:rsid w:val="09B21FD9"/>
    <w:rsid w:val="09B228DD"/>
    <w:rsid w:val="09BB1D03"/>
    <w:rsid w:val="09BD0777"/>
    <w:rsid w:val="09BF3902"/>
    <w:rsid w:val="09C769DB"/>
    <w:rsid w:val="09C80DB0"/>
    <w:rsid w:val="09CA2E06"/>
    <w:rsid w:val="09CC4EDE"/>
    <w:rsid w:val="09CC5B1D"/>
    <w:rsid w:val="09CC6D84"/>
    <w:rsid w:val="09CE3E33"/>
    <w:rsid w:val="09CF7152"/>
    <w:rsid w:val="09D467AF"/>
    <w:rsid w:val="09DD3C12"/>
    <w:rsid w:val="09E26D6B"/>
    <w:rsid w:val="09E376D4"/>
    <w:rsid w:val="09E56D38"/>
    <w:rsid w:val="09E95A97"/>
    <w:rsid w:val="09F4183F"/>
    <w:rsid w:val="09FB5B25"/>
    <w:rsid w:val="09FE4C98"/>
    <w:rsid w:val="0A042480"/>
    <w:rsid w:val="0A073F5D"/>
    <w:rsid w:val="0A110DA2"/>
    <w:rsid w:val="0A141ACA"/>
    <w:rsid w:val="0A1B728F"/>
    <w:rsid w:val="0A1D3139"/>
    <w:rsid w:val="0A317EA4"/>
    <w:rsid w:val="0A361B45"/>
    <w:rsid w:val="0A394022"/>
    <w:rsid w:val="0A3B49D8"/>
    <w:rsid w:val="0A3F36DF"/>
    <w:rsid w:val="0A445D61"/>
    <w:rsid w:val="0A48033E"/>
    <w:rsid w:val="0A492288"/>
    <w:rsid w:val="0A4A16AD"/>
    <w:rsid w:val="0A4E2459"/>
    <w:rsid w:val="0A4E4DF4"/>
    <w:rsid w:val="0A4F24D4"/>
    <w:rsid w:val="0A5706BC"/>
    <w:rsid w:val="0A590959"/>
    <w:rsid w:val="0A623C7D"/>
    <w:rsid w:val="0A656EA8"/>
    <w:rsid w:val="0A67689B"/>
    <w:rsid w:val="0A6E0DB9"/>
    <w:rsid w:val="0A726184"/>
    <w:rsid w:val="0A7374C9"/>
    <w:rsid w:val="0A7900F7"/>
    <w:rsid w:val="0A797821"/>
    <w:rsid w:val="0A7A10F6"/>
    <w:rsid w:val="0A7A7272"/>
    <w:rsid w:val="0A824E8D"/>
    <w:rsid w:val="0A867CFA"/>
    <w:rsid w:val="0A9E0D39"/>
    <w:rsid w:val="0AA50E7B"/>
    <w:rsid w:val="0AB15272"/>
    <w:rsid w:val="0AB630D0"/>
    <w:rsid w:val="0ABB3A04"/>
    <w:rsid w:val="0AC3103A"/>
    <w:rsid w:val="0ACF0747"/>
    <w:rsid w:val="0AD31A11"/>
    <w:rsid w:val="0AD52CCA"/>
    <w:rsid w:val="0ADA354B"/>
    <w:rsid w:val="0AF21A3D"/>
    <w:rsid w:val="0AF94FDE"/>
    <w:rsid w:val="0B002F87"/>
    <w:rsid w:val="0B077B50"/>
    <w:rsid w:val="0B0904EC"/>
    <w:rsid w:val="0B090808"/>
    <w:rsid w:val="0B0D77B0"/>
    <w:rsid w:val="0B253629"/>
    <w:rsid w:val="0B2C161B"/>
    <w:rsid w:val="0B2D0CBD"/>
    <w:rsid w:val="0B393C85"/>
    <w:rsid w:val="0B3D5911"/>
    <w:rsid w:val="0B400CE2"/>
    <w:rsid w:val="0B446623"/>
    <w:rsid w:val="0B4543C0"/>
    <w:rsid w:val="0B467998"/>
    <w:rsid w:val="0B496EC5"/>
    <w:rsid w:val="0B552269"/>
    <w:rsid w:val="0B5B1E1B"/>
    <w:rsid w:val="0B5F7FF1"/>
    <w:rsid w:val="0B675D1E"/>
    <w:rsid w:val="0B6830BA"/>
    <w:rsid w:val="0B6C5F4C"/>
    <w:rsid w:val="0B6E1B8F"/>
    <w:rsid w:val="0B6F426D"/>
    <w:rsid w:val="0B706F37"/>
    <w:rsid w:val="0B7427A6"/>
    <w:rsid w:val="0B7A5ED2"/>
    <w:rsid w:val="0B8168FD"/>
    <w:rsid w:val="0B863A37"/>
    <w:rsid w:val="0B88106C"/>
    <w:rsid w:val="0B8F325C"/>
    <w:rsid w:val="0B927856"/>
    <w:rsid w:val="0B933FF4"/>
    <w:rsid w:val="0B950340"/>
    <w:rsid w:val="0BA5228E"/>
    <w:rsid w:val="0BB13F6F"/>
    <w:rsid w:val="0BBA0BCE"/>
    <w:rsid w:val="0BBB73A8"/>
    <w:rsid w:val="0BBE11BC"/>
    <w:rsid w:val="0BC20000"/>
    <w:rsid w:val="0BC665B0"/>
    <w:rsid w:val="0BCA0AA3"/>
    <w:rsid w:val="0BCC554F"/>
    <w:rsid w:val="0BCE23F6"/>
    <w:rsid w:val="0BE32E95"/>
    <w:rsid w:val="0BE376F5"/>
    <w:rsid w:val="0BE65D3A"/>
    <w:rsid w:val="0BEA162B"/>
    <w:rsid w:val="0BF21B25"/>
    <w:rsid w:val="0BF27B30"/>
    <w:rsid w:val="0BF87D78"/>
    <w:rsid w:val="0C014470"/>
    <w:rsid w:val="0C0161F6"/>
    <w:rsid w:val="0C040091"/>
    <w:rsid w:val="0C0818F1"/>
    <w:rsid w:val="0C0A1324"/>
    <w:rsid w:val="0C1E43DA"/>
    <w:rsid w:val="0C323FD0"/>
    <w:rsid w:val="0C32486E"/>
    <w:rsid w:val="0C3671E3"/>
    <w:rsid w:val="0C455049"/>
    <w:rsid w:val="0C4C3925"/>
    <w:rsid w:val="0C4E748C"/>
    <w:rsid w:val="0C573F75"/>
    <w:rsid w:val="0C5E2990"/>
    <w:rsid w:val="0C61513F"/>
    <w:rsid w:val="0C6300F9"/>
    <w:rsid w:val="0C6F1400"/>
    <w:rsid w:val="0C722B1D"/>
    <w:rsid w:val="0C7D3F32"/>
    <w:rsid w:val="0C83647D"/>
    <w:rsid w:val="0C8D7A38"/>
    <w:rsid w:val="0C926475"/>
    <w:rsid w:val="0C992C0A"/>
    <w:rsid w:val="0CA15282"/>
    <w:rsid w:val="0CA21327"/>
    <w:rsid w:val="0CA3522B"/>
    <w:rsid w:val="0CB562BB"/>
    <w:rsid w:val="0CC70F28"/>
    <w:rsid w:val="0CC72005"/>
    <w:rsid w:val="0CCC6FA6"/>
    <w:rsid w:val="0CD10F35"/>
    <w:rsid w:val="0CD46CD9"/>
    <w:rsid w:val="0CE10BAE"/>
    <w:rsid w:val="0CE1467C"/>
    <w:rsid w:val="0CE25D0D"/>
    <w:rsid w:val="0CE269BB"/>
    <w:rsid w:val="0CE97833"/>
    <w:rsid w:val="0CEF5CEE"/>
    <w:rsid w:val="0CF63F76"/>
    <w:rsid w:val="0CF6529B"/>
    <w:rsid w:val="0CF81BB8"/>
    <w:rsid w:val="0CF8454A"/>
    <w:rsid w:val="0CFC1ED2"/>
    <w:rsid w:val="0D0059ED"/>
    <w:rsid w:val="0D025AFE"/>
    <w:rsid w:val="0D033C6B"/>
    <w:rsid w:val="0D05397C"/>
    <w:rsid w:val="0D0977E4"/>
    <w:rsid w:val="0D0D396F"/>
    <w:rsid w:val="0D1D261E"/>
    <w:rsid w:val="0D21668E"/>
    <w:rsid w:val="0D263249"/>
    <w:rsid w:val="0D2A2B2B"/>
    <w:rsid w:val="0D2B03FB"/>
    <w:rsid w:val="0D2F5631"/>
    <w:rsid w:val="0D35449A"/>
    <w:rsid w:val="0D3704A7"/>
    <w:rsid w:val="0D3A5FD5"/>
    <w:rsid w:val="0D3E2C9C"/>
    <w:rsid w:val="0D3E4AE7"/>
    <w:rsid w:val="0D3F054F"/>
    <w:rsid w:val="0D4456CA"/>
    <w:rsid w:val="0D4952D5"/>
    <w:rsid w:val="0D496AD7"/>
    <w:rsid w:val="0D4D2F95"/>
    <w:rsid w:val="0D4F31E3"/>
    <w:rsid w:val="0D5458A3"/>
    <w:rsid w:val="0D551860"/>
    <w:rsid w:val="0D5936C1"/>
    <w:rsid w:val="0D59515A"/>
    <w:rsid w:val="0D674F77"/>
    <w:rsid w:val="0D777444"/>
    <w:rsid w:val="0D7B2671"/>
    <w:rsid w:val="0D94700D"/>
    <w:rsid w:val="0D954E53"/>
    <w:rsid w:val="0D9A18DF"/>
    <w:rsid w:val="0D9C61DB"/>
    <w:rsid w:val="0D9D1283"/>
    <w:rsid w:val="0D9E5E44"/>
    <w:rsid w:val="0DAA67A5"/>
    <w:rsid w:val="0DAC2D08"/>
    <w:rsid w:val="0DAF0B93"/>
    <w:rsid w:val="0DAF5FA2"/>
    <w:rsid w:val="0DB701B9"/>
    <w:rsid w:val="0DBD1510"/>
    <w:rsid w:val="0DD230D2"/>
    <w:rsid w:val="0DE812FD"/>
    <w:rsid w:val="0DFB0817"/>
    <w:rsid w:val="0DFD0AB2"/>
    <w:rsid w:val="0DFF520A"/>
    <w:rsid w:val="0E043AC3"/>
    <w:rsid w:val="0E0474DC"/>
    <w:rsid w:val="0E081E62"/>
    <w:rsid w:val="0E0F2B99"/>
    <w:rsid w:val="0E11506F"/>
    <w:rsid w:val="0E1B1422"/>
    <w:rsid w:val="0E205D34"/>
    <w:rsid w:val="0E225AC0"/>
    <w:rsid w:val="0E2431A1"/>
    <w:rsid w:val="0E290B81"/>
    <w:rsid w:val="0E2F0623"/>
    <w:rsid w:val="0E32759F"/>
    <w:rsid w:val="0E38180E"/>
    <w:rsid w:val="0E3908DC"/>
    <w:rsid w:val="0E3E69FD"/>
    <w:rsid w:val="0E420E22"/>
    <w:rsid w:val="0E464B20"/>
    <w:rsid w:val="0E465EE5"/>
    <w:rsid w:val="0E581911"/>
    <w:rsid w:val="0E6264B5"/>
    <w:rsid w:val="0E691E09"/>
    <w:rsid w:val="0E6A0E39"/>
    <w:rsid w:val="0E716D9E"/>
    <w:rsid w:val="0E723139"/>
    <w:rsid w:val="0E755550"/>
    <w:rsid w:val="0E7B24ED"/>
    <w:rsid w:val="0E7F237B"/>
    <w:rsid w:val="0E825578"/>
    <w:rsid w:val="0E8806A7"/>
    <w:rsid w:val="0E8A6504"/>
    <w:rsid w:val="0E8D4E99"/>
    <w:rsid w:val="0E8F2E6A"/>
    <w:rsid w:val="0E9E61EE"/>
    <w:rsid w:val="0E9F1BFA"/>
    <w:rsid w:val="0E9F7274"/>
    <w:rsid w:val="0EAC4B7F"/>
    <w:rsid w:val="0EAD50D5"/>
    <w:rsid w:val="0EAE1368"/>
    <w:rsid w:val="0EBE1311"/>
    <w:rsid w:val="0EC04FD6"/>
    <w:rsid w:val="0EC94B77"/>
    <w:rsid w:val="0ECC1451"/>
    <w:rsid w:val="0EE2539C"/>
    <w:rsid w:val="0EE30404"/>
    <w:rsid w:val="0EE662E1"/>
    <w:rsid w:val="0EED01C8"/>
    <w:rsid w:val="0EF31A9F"/>
    <w:rsid w:val="0EFD093A"/>
    <w:rsid w:val="0EFE7BF3"/>
    <w:rsid w:val="0F0260AC"/>
    <w:rsid w:val="0F0352A7"/>
    <w:rsid w:val="0F086816"/>
    <w:rsid w:val="0F0D2990"/>
    <w:rsid w:val="0F11369E"/>
    <w:rsid w:val="0F132B68"/>
    <w:rsid w:val="0F17364D"/>
    <w:rsid w:val="0F1949BB"/>
    <w:rsid w:val="0F1B38F3"/>
    <w:rsid w:val="0F1F5431"/>
    <w:rsid w:val="0F273D5D"/>
    <w:rsid w:val="0F2F36F8"/>
    <w:rsid w:val="0F334FF8"/>
    <w:rsid w:val="0F3422A5"/>
    <w:rsid w:val="0F3E0C69"/>
    <w:rsid w:val="0F415314"/>
    <w:rsid w:val="0F4876BB"/>
    <w:rsid w:val="0F4C3E43"/>
    <w:rsid w:val="0F4E064B"/>
    <w:rsid w:val="0F5317C6"/>
    <w:rsid w:val="0F5C232E"/>
    <w:rsid w:val="0F625FC1"/>
    <w:rsid w:val="0F6C2C4C"/>
    <w:rsid w:val="0F74659E"/>
    <w:rsid w:val="0F7C31C7"/>
    <w:rsid w:val="0F80474B"/>
    <w:rsid w:val="0F812BE8"/>
    <w:rsid w:val="0F880E51"/>
    <w:rsid w:val="0F8C6010"/>
    <w:rsid w:val="0F936797"/>
    <w:rsid w:val="0F96163E"/>
    <w:rsid w:val="0F96222F"/>
    <w:rsid w:val="0F980620"/>
    <w:rsid w:val="0F996FB5"/>
    <w:rsid w:val="0F9A3642"/>
    <w:rsid w:val="0F9B40A1"/>
    <w:rsid w:val="0FA055E7"/>
    <w:rsid w:val="0FA27255"/>
    <w:rsid w:val="0FA7078C"/>
    <w:rsid w:val="0FA93F9F"/>
    <w:rsid w:val="0FAB095A"/>
    <w:rsid w:val="0FAC4347"/>
    <w:rsid w:val="0FB87272"/>
    <w:rsid w:val="0FBC45E1"/>
    <w:rsid w:val="0FBE5E2D"/>
    <w:rsid w:val="0FC159CB"/>
    <w:rsid w:val="0FC3191B"/>
    <w:rsid w:val="0FC83702"/>
    <w:rsid w:val="0FC91B90"/>
    <w:rsid w:val="0FC965AF"/>
    <w:rsid w:val="0FC9681D"/>
    <w:rsid w:val="0FCA560B"/>
    <w:rsid w:val="0FCD22BC"/>
    <w:rsid w:val="0FD35D80"/>
    <w:rsid w:val="0FD41E36"/>
    <w:rsid w:val="0FD75B47"/>
    <w:rsid w:val="0FDA5259"/>
    <w:rsid w:val="0FDD7FE0"/>
    <w:rsid w:val="0FE12C09"/>
    <w:rsid w:val="0FE91DCE"/>
    <w:rsid w:val="0FEB2792"/>
    <w:rsid w:val="0FEC55E6"/>
    <w:rsid w:val="0FED58CB"/>
    <w:rsid w:val="0FF505B3"/>
    <w:rsid w:val="0FFF26DC"/>
    <w:rsid w:val="100C1D5A"/>
    <w:rsid w:val="101A1275"/>
    <w:rsid w:val="101F6419"/>
    <w:rsid w:val="1023360F"/>
    <w:rsid w:val="10246DC5"/>
    <w:rsid w:val="10292C41"/>
    <w:rsid w:val="102A52B4"/>
    <w:rsid w:val="102B6C90"/>
    <w:rsid w:val="10380A66"/>
    <w:rsid w:val="103A4EAF"/>
    <w:rsid w:val="103B266C"/>
    <w:rsid w:val="104530D2"/>
    <w:rsid w:val="1048600A"/>
    <w:rsid w:val="104C1ACF"/>
    <w:rsid w:val="104D64B8"/>
    <w:rsid w:val="104F269F"/>
    <w:rsid w:val="10512AF0"/>
    <w:rsid w:val="10515B6D"/>
    <w:rsid w:val="10545446"/>
    <w:rsid w:val="10574897"/>
    <w:rsid w:val="105B3917"/>
    <w:rsid w:val="105C1CA6"/>
    <w:rsid w:val="105D4701"/>
    <w:rsid w:val="1063008A"/>
    <w:rsid w:val="106B1734"/>
    <w:rsid w:val="1073087A"/>
    <w:rsid w:val="107F6A01"/>
    <w:rsid w:val="10813DD8"/>
    <w:rsid w:val="1084763D"/>
    <w:rsid w:val="109D4100"/>
    <w:rsid w:val="10A4325A"/>
    <w:rsid w:val="10A50769"/>
    <w:rsid w:val="10AA67D8"/>
    <w:rsid w:val="10AB0BB3"/>
    <w:rsid w:val="10B010F9"/>
    <w:rsid w:val="10B15D1E"/>
    <w:rsid w:val="10B77E23"/>
    <w:rsid w:val="10B77E8D"/>
    <w:rsid w:val="10B857E7"/>
    <w:rsid w:val="10BE4C49"/>
    <w:rsid w:val="10C611FD"/>
    <w:rsid w:val="10C66F94"/>
    <w:rsid w:val="10CE723A"/>
    <w:rsid w:val="10CF7921"/>
    <w:rsid w:val="10D00886"/>
    <w:rsid w:val="10D04635"/>
    <w:rsid w:val="10D17FE8"/>
    <w:rsid w:val="10D936AE"/>
    <w:rsid w:val="10DC15F0"/>
    <w:rsid w:val="10EE361C"/>
    <w:rsid w:val="10F074BF"/>
    <w:rsid w:val="10F80F91"/>
    <w:rsid w:val="10F83136"/>
    <w:rsid w:val="10FD21CC"/>
    <w:rsid w:val="10FE3B3A"/>
    <w:rsid w:val="10FE7625"/>
    <w:rsid w:val="11130A5F"/>
    <w:rsid w:val="111354F7"/>
    <w:rsid w:val="111E7C1E"/>
    <w:rsid w:val="11222717"/>
    <w:rsid w:val="11264B41"/>
    <w:rsid w:val="112C6CDA"/>
    <w:rsid w:val="112D437F"/>
    <w:rsid w:val="1133056C"/>
    <w:rsid w:val="1134715E"/>
    <w:rsid w:val="113553B2"/>
    <w:rsid w:val="1139154F"/>
    <w:rsid w:val="11393DFA"/>
    <w:rsid w:val="113C268C"/>
    <w:rsid w:val="114E79E5"/>
    <w:rsid w:val="11560D1D"/>
    <w:rsid w:val="115A45E2"/>
    <w:rsid w:val="1160327A"/>
    <w:rsid w:val="116203D9"/>
    <w:rsid w:val="11634563"/>
    <w:rsid w:val="11697C6F"/>
    <w:rsid w:val="116C13C3"/>
    <w:rsid w:val="116E20BF"/>
    <w:rsid w:val="116F2C92"/>
    <w:rsid w:val="117C774D"/>
    <w:rsid w:val="11811179"/>
    <w:rsid w:val="11830281"/>
    <w:rsid w:val="118F23C6"/>
    <w:rsid w:val="119B57AB"/>
    <w:rsid w:val="119B672E"/>
    <w:rsid w:val="119C5111"/>
    <w:rsid w:val="119E314B"/>
    <w:rsid w:val="119F0F04"/>
    <w:rsid w:val="11AC2933"/>
    <w:rsid w:val="11AD1ACF"/>
    <w:rsid w:val="11B465F9"/>
    <w:rsid w:val="11B56FA1"/>
    <w:rsid w:val="11B93022"/>
    <w:rsid w:val="11BD1984"/>
    <w:rsid w:val="11BE73A5"/>
    <w:rsid w:val="11C348A0"/>
    <w:rsid w:val="11C41D9C"/>
    <w:rsid w:val="11C449BB"/>
    <w:rsid w:val="11CD17F9"/>
    <w:rsid w:val="11CE53DA"/>
    <w:rsid w:val="11D63F40"/>
    <w:rsid w:val="11D949FC"/>
    <w:rsid w:val="11E01B47"/>
    <w:rsid w:val="11E35B09"/>
    <w:rsid w:val="11E94BF3"/>
    <w:rsid w:val="11EE42D5"/>
    <w:rsid w:val="11EF204C"/>
    <w:rsid w:val="11F3631D"/>
    <w:rsid w:val="11F4010E"/>
    <w:rsid w:val="11F73A66"/>
    <w:rsid w:val="11FA6F02"/>
    <w:rsid w:val="120306DB"/>
    <w:rsid w:val="120A00C6"/>
    <w:rsid w:val="120B1797"/>
    <w:rsid w:val="120E02A1"/>
    <w:rsid w:val="121A28E9"/>
    <w:rsid w:val="121C6145"/>
    <w:rsid w:val="121C6E87"/>
    <w:rsid w:val="122056A5"/>
    <w:rsid w:val="12351111"/>
    <w:rsid w:val="12355B46"/>
    <w:rsid w:val="12380F59"/>
    <w:rsid w:val="1238440F"/>
    <w:rsid w:val="123C58FA"/>
    <w:rsid w:val="124E2F25"/>
    <w:rsid w:val="12595467"/>
    <w:rsid w:val="125B7DC0"/>
    <w:rsid w:val="12603441"/>
    <w:rsid w:val="126B2497"/>
    <w:rsid w:val="126B3E75"/>
    <w:rsid w:val="127050F6"/>
    <w:rsid w:val="12723222"/>
    <w:rsid w:val="12766963"/>
    <w:rsid w:val="127D125A"/>
    <w:rsid w:val="12952CF3"/>
    <w:rsid w:val="1298779B"/>
    <w:rsid w:val="129D1FE2"/>
    <w:rsid w:val="12AA7B7B"/>
    <w:rsid w:val="12AF1E3A"/>
    <w:rsid w:val="12B12945"/>
    <w:rsid w:val="12B8244B"/>
    <w:rsid w:val="12BF718C"/>
    <w:rsid w:val="12CA1FCB"/>
    <w:rsid w:val="12CC78AD"/>
    <w:rsid w:val="12CD1673"/>
    <w:rsid w:val="12D42BB5"/>
    <w:rsid w:val="12E71119"/>
    <w:rsid w:val="12EF5BF6"/>
    <w:rsid w:val="12F2189B"/>
    <w:rsid w:val="12F91530"/>
    <w:rsid w:val="130119DC"/>
    <w:rsid w:val="13093B5A"/>
    <w:rsid w:val="130B5D66"/>
    <w:rsid w:val="13161422"/>
    <w:rsid w:val="13164E22"/>
    <w:rsid w:val="1317313B"/>
    <w:rsid w:val="13183669"/>
    <w:rsid w:val="132E4F94"/>
    <w:rsid w:val="133251FD"/>
    <w:rsid w:val="13333902"/>
    <w:rsid w:val="13352CAC"/>
    <w:rsid w:val="13402F3F"/>
    <w:rsid w:val="13410F4C"/>
    <w:rsid w:val="134156DB"/>
    <w:rsid w:val="134A2234"/>
    <w:rsid w:val="135754D8"/>
    <w:rsid w:val="13675993"/>
    <w:rsid w:val="13680F5C"/>
    <w:rsid w:val="13682134"/>
    <w:rsid w:val="136F44BC"/>
    <w:rsid w:val="13726286"/>
    <w:rsid w:val="13754171"/>
    <w:rsid w:val="137E75E7"/>
    <w:rsid w:val="13813515"/>
    <w:rsid w:val="13847BBB"/>
    <w:rsid w:val="1385385D"/>
    <w:rsid w:val="138836C6"/>
    <w:rsid w:val="138B1A60"/>
    <w:rsid w:val="1395241D"/>
    <w:rsid w:val="139A1B8E"/>
    <w:rsid w:val="139C2FFB"/>
    <w:rsid w:val="139C69C8"/>
    <w:rsid w:val="139F5E49"/>
    <w:rsid w:val="13AF39FF"/>
    <w:rsid w:val="13B25B06"/>
    <w:rsid w:val="13B47B12"/>
    <w:rsid w:val="13B83A94"/>
    <w:rsid w:val="13C417C2"/>
    <w:rsid w:val="13D03E30"/>
    <w:rsid w:val="13DC4DBC"/>
    <w:rsid w:val="13E418E2"/>
    <w:rsid w:val="13E4563C"/>
    <w:rsid w:val="13EE6FB6"/>
    <w:rsid w:val="13F43F75"/>
    <w:rsid w:val="13F4507A"/>
    <w:rsid w:val="13F72355"/>
    <w:rsid w:val="13FE6903"/>
    <w:rsid w:val="140861A6"/>
    <w:rsid w:val="142D68A2"/>
    <w:rsid w:val="14350F62"/>
    <w:rsid w:val="14381FFF"/>
    <w:rsid w:val="14440B6F"/>
    <w:rsid w:val="14457384"/>
    <w:rsid w:val="145B4059"/>
    <w:rsid w:val="145E39AB"/>
    <w:rsid w:val="146342CF"/>
    <w:rsid w:val="146667A1"/>
    <w:rsid w:val="1469447E"/>
    <w:rsid w:val="146F6FFC"/>
    <w:rsid w:val="14745A7B"/>
    <w:rsid w:val="14753C20"/>
    <w:rsid w:val="147F43D4"/>
    <w:rsid w:val="14802959"/>
    <w:rsid w:val="148163B7"/>
    <w:rsid w:val="148368D6"/>
    <w:rsid w:val="14836919"/>
    <w:rsid w:val="14850D11"/>
    <w:rsid w:val="148803BA"/>
    <w:rsid w:val="148C5769"/>
    <w:rsid w:val="14A57599"/>
    <w:rsid w:val="14B03425"/>
    <w:rsid w:val="14B42320"/>
    <w:rsid w:val="14B71D4B"/>
    <w:rsid w:val="14BD325C"/>
    <w:rsid w:val="14BD5E1A"/>
    <w:rsid w:val="14C410A1"/>
    <w:rsid w:val="14C90BCC"/>
    <w:rsid w:val="14D13E1B"/>
    <w:rsid w:val="14D74DB1"/>
    <w:rsid w:val="14DE0D71"/>
    <w:rsid w:val="14E0383D"/>
    <w:rsid w:val="14E21E51"/>
    <w:rsid w:val="14ED0563"/>
    <w:rsid w:val="14EE2EB0"/>
    <w:rsid w:val="14EF1D29"/>
    <w:rsid w:val="14F247FD"/>
    <w:rsid w:val="14F36D6C"/>
    <w:rsid w:val="14FC4419"/>
    <w:rsid w:val="14FD4573"/>
    <w:rsid w:val="15187F7D"/>
    <w:rsid w:val="151C7CD6"/>
    <w:rsid w:val="151D450A"/>
    <w:rsid w:val="152002EE"/>
    <w:rsid w:val="1526172D"/>
    <w:rsid w:val="152D2C7B"/>
    <w:rsid w:val="152E4461"/>
    <w:rsid w:val="15332954"/>
    <w:rsid w:val="15384A96"/>
    <w:rsid w:val="153A3675"/>
    <w:rsid w:val="153D02A4"/>
    <w:rsid w:val="153D63DD"/>
    <w:rsid w:val="154064B8"/>
    <w:rsid w:val="15434046"/>
    <w:rsid w:val="15460D75"/>
    <w:rsid w:val="1546474F"/>
    <w:rsid w:val="15481A57"/>
    <w:rsid w:val="154958E0"/>
    <w:rsid w:val="155125E2"/>
    <w:rsid w:val="155255E2"/>
    <w:rsid w:val="15575766"/>
    <w:rsid w:val="155C560E"/>
    <w:rsid w:val="155D155A"/>
    <w:rsid w:val="155F5BE6"/>
    <w:rsid w:val="156177CB"/>
    <w:rsid w:val="15640512"/>
    <w:rsid w:val="15652086"/>
    <w:rsid w:val="156B2159"/>
    <w:rsid w:val="157055B7"/>
    <w:rsid w:val="1577031A"/>
    <w:rsid w:val="1577423D"/>
    <w:rsid w:val="157746C1"/>
    <w:rsid w:val="1579764E"/>
    <w:rsid w:val="157A5C61"/>
    <w:rsid w:val="15816CAC"/>
    <w:rsid w:val="15846B79"/>
    <w:rsid w:val="1588462A"/>
    <w:rsid w:val="158D39DC"/>
    <w:rsid w:val="159137C0"/>
    <w:rsid w:val="1597540F"/>
    <w:rsid w:val="159A37E5"/>
    <w:rsid w:val="15A3215E"/>
    <w:rsid w:val="15A85596"/>
    <w:rsid w:val="15AD634D"/>
    <w:rsid w:val="15B57507"/>
    <w:rsid w:val="15BB494C"/>
    <w:rsid w:val="15BF0AB4"/>
    <w:rsid w:val="15BF6894"/>
    <w:rsid w:val="15C058EF"/>
    <w:rsid w:val="15C321F5"/>
    <w:rsid w:val="15C62F34"/>
    <w:rsid w:val="15C956BF"/>
    <w:rsid w:val="15D4210A"/>
    <w:rsid w:val="15DA09B2"/>
    <w:rsid w:val="15E52544"/>
    <w:rsid w:val="15EA6B9A"/>
    <w:rsid w:val="15ED58C5"/>
    <w:rsid w:val="15F32F61"/>
    <w:rsid w:val="15FE5C7D"/>
    <w:rsid w:val="1602382A"/>
    <w:rsid w:val="160572A5"/>
    <w:rsid w:val="160B6251"/>
    <w:rsid w:val="16112FEC"/>
    <w:rsid w:val="161571E3"/>
    <w:rsid w:val="161962FD"/>
    <w:rsid w:val="161A3E8D"/>
    <w:rsid w:val="161D3929"/>
    <w:rsid w:val="162634D6"/>
    <w:rsid w:val="162938FE"/>
    <w:rsid w:val="162B08E0"/>
    <w:rsid w:val="162B705B"/>
    <w:rsid w:val="162C1D7A"/>
    <w:rsid w:val="162D0738"/>
    <w:rsid w:val="162F336D"/>
    <w:rsid w:val="16300533"/>
    <w:rsid w:val="16301BF7"/>
    <w:rsid w:val="163C6F82"/>
    <w:rsid w:val="16406180"/>
    <w:rsid w:val="164D538A"/>
    <w:rsid w:val="164E6C49"/>
    <w:rsid w:val="1654558F"/>
    <w:rsid w:val="1656085B"/>
    <w:rsid w:val="165B2C06"/>
    <w:rsid w:val="165F12D2"/>
    <w:rsid w:val="165F45E8"/>
    <w:rsid w:val="16627AB9"/>
    <w:rsid w:val="16644537"/>
    <w:rsid w:val="16670001"/>
    <w:rsid w:val="16687B6D"/>
    <w:rsid w:val="16690DB5"/>
    <w:rsid w:val="16697136"/>
    <w:rsid w:val="166C2D80"/>
    <w:rsid w:val="166F2492"/>
    <w:rsid w:val="16717C35"/>
    <w:rsid w:val="167F6551"/>
    <w:rsid w:val="168E0852"/>
    <w:rsid w:val="168F4E35"/>
    <w:rsid w:val="16962554"/>
    <w:rsid w:val="16982F0C"/>
    <w:rsid w:val="169867C4"/>
    <w:rsid w:val="16A275D2"/>
    <w:rsid w:val="16B10683"/>
    <w:rsid w:val="16B21290"/>
    <w:rsid w:val="16B63D68"/>
    <w:rsid w:val="16BA1D88"/>
    <w:rsid w:val="16BD5626"/>
    <w:rsid w:val="16C60DD5"/>
    <w:rsid w:val="16C85322"/>
    <w:rsid w:val="16C9310B"/>
    <w:rsid w:val="16E2027D"/>
    <w:rsid w:val="16E7337C"/>
    <w:rsid w:val="16EA40C2"/>
    <w:rsid w:val="16F02A23"/>
    <w:rsid w:val="16F57479"/>
    <w:rsid w:val="16F61355"/>
    <w:rsid w:val="16FB6F4F"/>
    <w:rsid w:val="17005F34"/>
    <w:rsid w:val="1702784E"/>
    <w:rsid w:val="170474C4"/>
    <w:rsid w:val="17055AB0"/>
    <w:rsid w:val="17080814"/>
    <w:rsid w:val="17116327"/>
    <w:rsid w:val="171244D5"/>
    <w:rsid w:val="17172EE5"/>
    <w:rsid w:val="171854C4"/>
    <w:rsid w:val="171B1881"/>
    <w:rsid w:val="171B4584"/>
    <w:rsid w:val="172D5576"/>
    <w:rsid w:val="173109B4"/>
    <w:rsid w:val="17313575"/>
    <w:rsid w:val="1734371A"/>
    <w:rsid w:val="17350CE0"/>
    <w:rsid w:val="173902B2"/>
    <w:rsid w:val="17451A06"/>
    <w:rsid w:val="17454620"/>
    <w:rsid w:val="17465330"/>
    <w:rsid w:val="17486E6B"/>
    <w:rsid w:val="174D6134"/>
    <w:rsid w:val="174E4494"/>
    <w:rsid w:val="174E6449"/>
    <w:rsid w:val="175325E3"/>
    <w:rsid w:val="175574E1"/>
    <w:rsid w:val="175B153D"/>
    <w:rsid w:val="176079DE"/>
    <w:rsid w:val="17654D8B"/>
    <w:rsid w:val="176D6BD1"/>
    <w:rsid w:val="176F1C18"/>
    <w:rsid w:val="17710350"/>
    <w:rsid w:val="17792A17"/>
    <w:rsid w:val="17803DF5"/>
    <w:rsid w:val="17815F72"/>
    <w:rsid w:val="17892AB9"/>
    <w:rsid w:val="178B2696"/>
    <w:rsid w:val="17964D69"/>
    <w:rsid w:val="17A076DD"/>
    <w:rsid w:val="17A84AD3"/>
    <w:rsid w:val="17AB1C12"/>
    <w:rsid w:val="17AD61A6"/>
    <w:rsid w:val="17B42173"/>
    <w:rsid w:val="17BD5D94"/>
    <w:rsid w:val="17C22E4C"/>
    <w:rsid w:val="17CB210E"/>
    <w:rsid w:val="17D479BF"/>
    <w:rsid w:val="17D91E31"/>
    <w:rsid w:val="17E27079"/>
    <w:rsid w:val="17E56E37"/>
    <w:rsid w:val="17F43671"/>
    <w:rsid w:val="17FE0231"/>
    <w:rsid w:val="18012F7B"/>
    <w:rsid w:val="18034734"/>
    <w:rsid w:val="18123B6C"/>
    <w:rsid w:val="1819371A"/>
    <w:rsid w:val="18233ED3"/>
    <w:rsid w:val="18285C66"/>
    <w:rsid w:val="1840740C"/>
    <w:rsid w:val="185A6DBC"/>
    <w:rsid w:val="185B76C9"/>
    <w:rsid w:val="1868211E"/>
    <w:rsid w:val="186919FF"/>
    <w:rsid w:val="186B2642"/>
    <w:rsid w:val="186B484E"/>
    <w:rsid w:val="186B5722"/>
    <w:rsid w:val="186F4E08"/>
    <w:rsid w:val="187B08A9"/>
    <w:rsid w:val="187F3A81"/>
    <w:rsid w:val="188C4C85"/>
    <w:rsid w:val="189133C7"/>
    <w:rsid w:val="189A44F7"/>
    <w:rsid w:val="189C50A6"/>
    <w:rsid w:val="189F6AA5"/>
    <w:rsid w:val="18A137CE"/>
    <w:rsid w:val="18A66CB1"/>
    <w:rsid w:val="18AA0020"/>
    <w:rsid w:val="18AC6DFE"/>
    <w:rsid w:val="18B1646C"/>
    <w:rsid w:val="18B46D77"/>
    <w:rsid w:val="18B62F29"/>
    <w:rsid w:val="18D022F6"/>
    <w:rsid w:val="18D51A93"/>
    <w:rsid w:val="18DC6514"/>
    <w:rsid w:val="18DD1864"/>
    <w:rsid w:val="18E24E1D"/>
    <w:rsid w:val="18E672ED"/>
    <w:rsid w:val="18F40DC4"/>
    <w:rsid w:val="18F46D18"/>
    <w:rsid w:val="18FC3A12"/>
    <w:rsid w:val="18FE582B"/>
    <w:rsid w:val="1900255B"/>
    <w:rsid w:val="19003E0E"/>
    <w:rsid w:val="19016DC8"/>
    <w:rsid w:val="19053F25"/>
    <w:rsid w:val="19083C0D"/>
    <w:rsid w:val="190F4608"/>
    <w:rsid w:val="191420A7"/>
    <w:rsid w:val="191605E4"/>
    <w:rsid w:val="19174442"/>
    <w:rsid w:val="191A0EAC"/>
    <w:rsid w:val="19212ABD"/>
    <w:rsid w:val="19297ACE"/>
    <w:rsid w:val="192C1A22"/>
    <w:rsid w:val="192F295D"/>
    <w:rsid w:val="193308AA"/>
    <w:rsid w:val="193D0505"/>
    <w:rsid w:val="193D322E"/>
    <w:rsid w:val="193D63F7"/>
    <w:rsid w:val="193F7452"/>
    <w:rsid w:val="194223F1"/>
    <w:rsid w:val="19437358"/>
    <w:rsid w:val="1948463D"/>
    <w:rsid w:val="194D64CB"/>
    <w:rsid w:val="195400B4"/>
    <w:rsid w:val="1957100A"/>
    <w:rsid w:val="19643C63"/>
    <w:rsid w:val="19730950"/>
    <w:rsid w:val="19797670"/>
    <w:rsid w:val="197D1AC9"/>
    <w:rsid w:val="19943D60"/>
    <w:rsid w:val="199A629A"/>
    <w:rsid w:val="19AA6890"/>
    <w:rsid w:val="19AB358E"/>
    <w:rsid w:val="19AE6F7F"/>
    <w:rsid w:val="19AF3AE6"/>
    <w:rsid w:val="19BD6A72"/>
    <w:rsid w:val="19BE7B2F"/>
    <w:rsid w:val="19C550A3"/>
    <w:rsid w:val="19C71E79"/>
    <w:rsid w:val="19C935BE"/>
    <w:rsid w:val="19CF2C1F"/>
    <w:rsid w:val="19D1094F"/>
    <w:rsid w:val="19D1193B"/>
    <w:rsid w:val="19D43AC9"/>
    <w:rsid w:val="19D91EB0"/>
    <w:rsid w:val="19DE2099"/>
    <w:rsid w:val="19E17F53"/>
    <w:rsid w:val="19E26D49"/>
    <w:rsid w:val="19EA706E"/>
    <w:rsid w:val="19EB3C37"/>
    <w:rsid w:val="19EE75D0"/>
    <w:rsid w:val="19F200A4"/>
    <w:rsid w:val="19F474DA"/>
    <w:rsid w:val="19F47C07"/>
    <w:rsid w:val="1A05033F"/>
    <w:rsid w:val="1A077192"/>
    <w:rsid w:val="1A082E99"/>
    <w:rsid w:val="1A13309B"/>
    <w:rsid w:val="1A143ADF"/>
    <w:rsid w:val="1A144F2B"/>
    <w:rsid w:val="1A1A62C0"/>
    <w:rsid w:val="1A3D0151"/>
    <w:rsid w:val="1A3E5B9F"/>
    <w:rsid w:val="1A4338AA"/>
    <w:rsid w:val="1A4A37A9"/>
    <w:rsid w:val="1A4E4E2F"/>
    <w:rsid w:val="1A641CB4"/>
    <w:rsid w:val="1A665FA2"/>
    <w:rsid w:val="1A68265D"/>
    <w:rsid w:val="1A6C2044"/>
    <w:rsid w:val="1A7222E7"/>
    <w:rsid w:val="1A7660BC"/>
    <w:rsid w:val="1A7A5DFE"/>
    <w:rsid w:val="1A8026CB"/>
    <w:rsid w:val="1A807D07"/>
    <w:rsid w:val="1A846F04"/>
    <w:rsid w:val="1A8E7755"/>
    <w:rsid w:val="1AA72D75"/>
    <w:rsid w:val="1AAC0ACF"/>
    <w:rsid w:val="1AAC5511"/>
    <w:rsid w:val="1AAD7D00"/>
    <w:rsid w:val="1AB53069"/>
    <w:rsid w:val="1AB64E73"/>
    <w:rsid w:val="1AC31659"/>
    <w:rsid w:val="1ACB6A21"/>
    <w:rsid w:val="1ACB7663"/>
    <w:rsid w:val="1ACD1DD7"/>
    <w:rsid w:val="1AD35432"/>
    <w:rsid w:val="1AD546E3"/>
    <w:rsid w:val="1ADC08E2"/>
    <w:rsid w:val="1ADC3240"/>
    <w:rsid w:val="1ADC4A9A"/>
    <w:rsid w:val="1ADD5EA3"/>
    <w:rsid w:val="1AE04828"/>
    <w:rsid w:val="1AE771EA"/>
    <w:rsid w:val="1AE82EEA"/>
    <w:rsid w:val="1AE972E2"/>
    <w:rsid w:val="1AEF0CDC"/>
    <w:rsid w:val="1AF7087B"/>
    <w:rsid w:val="1AFE343F"/>
    <w:rsid w:val="1B090BAF"/>
    <w:rsid w:val="1B096151"/>
    <w:rsid w:val="1B14253A"/>
    <w:rsid w:val="1B15245C"/>
    <w:rsid w:val="1B2115EE"/>
    <w:rsid w:val="1B3B3E12"/>
    <w:rsid w:val="1B3E1599"/>
    <w:rsid w:val="1B4379D4"/>
    <w:rsid w:val="1B454137"/>
    <w:rsid w:val="1B4A1FF0"/>
    <w:rsid w:val="1B4B1ECC"/>
    <w:rsid w:val="1B4B350E"/>
    <w:rsid w:val="1B566E75"/>
    <w:rsid w:val="1B621824"/>
    <w:rsid w:val="1B6466CF"/>
    <w:rsid w:val="1B647856"/>
    <w:rsid w:val="1B667F23"/>
    <w:rsid w:val="1B696D8C"/>
    <w:rsid w:val="1B6E4614"/>
    <w:rsid w:val="1B747D18"/>
    <w:rsid w:val="1B751B49"/>
    <w:rsid w:val="1B7D1B08"/>
    <w:rsid w:val="1B7D28DF"/>
    <w:rsid w:val="1B8F6DB8"/>
    <w:rsid w:val="1B915B9A"/>
    <w:rsid w:val="1B925650"/>
    <w:rsid w:val="1B992B42"/>
    <w:rsid w:val="1B9E0CD3"/>
    <w:rsid w:val="1B9F1B9F"/>
    <w:rsid w:val="1BA110AD"/>
    <w:rsid w:val="1BA111CF"/>
    <w:rsid w:val="1BA14685"/>
    <w:rsid w:val="1BAB0FCA"/>
    <w:rsid w:val="1BAD3D8B"/>
    <w:rsid w:val="1BB50104"/>
    <w:rsid w:val="1BB67E58"/>
    <w:rsid w:val="1BBC7923"/>
    <w:rsid w:val="1BC17062"/>
    <w:rsid w:val="1BC768F4"/>
    <w:rsid w:val="1BD42BB8"/>
    <w:rsid w:val="1BDE151C"/>
    <w:rsid w:val="1BE455B6"/>
    <w:rsid w:val="1BE572CD"/>
    <w:rsid w:val="1BE658D6"/>
    <w:rsid w:val="1BE771AE"/>
    <w:rsid w:val="1BE808DA"/>
    <w:rsid w:val="1BE84334"/>
    <w:rsid w:val="1BE87973"/>
    <w:rsid w:val="1BE915DE"/>
    <w:rsid w:val="1BE972DA"/>
    <w:rsid w:val="1BEB2309"/>
    <w:rsid w:val="1BF4429D"/>
    <w:rsid w:val="1BF63981"/>
    <w:rsid w:val="1BF65BF6"/>
    <w:rsid w:val="1BF75DDD"/>
    <w:rsid w:val="1BFB6709"/>
    <w:rsid w:val="1BFC1B7D"/>
    <w:rsid w:val="1BFF10B9"/>
    <w:rsid w:val="1C007BC0"/>
    <w:rsid w:val="1C0C5403"/>
    <w:rsid w:val="1C0D635A"/>
    <w:rsid w:val="1C0E2C06"/>
    <w:rsid w:val="1C204C9A"/>
    <w:rsid w:val="1C2559A9"/>
    <w:rsid w:val="1C2900C3"/>
    <w:rsid w:val="1C296E96"/>
    <w:rsid w:val="1C2A288F"/>
    <w:rsid w:val="1C2B3BA0"/>
    <w:rsid w:val="1C2D7C57"/>
    <w:rsid w:val="1C39605A"/>
    <w:rsid w:val="1C455CD0"/>
    <w:rsid w:val="1C494960"/>
    <w:rsid w:val="1C4E316A"/>
    <w:rsid w:val="1C4F4800"/>
    <w:rsid w:val="1C5926D8"/>
    <w:rsid w:val="1C6978CE"/>
    <w:rsid w:val="1C6D4527"/>
    <w:rsid w:val="1C6D6518"/>
    <w:rsid w:val="1C6E5D98"/>
    <w:rsid w:val="1C7026A3"/>
    <w:rsid w:val="1C732FAD"/>
    <w:rsid w:val="1C7331C9"/>
    <w:rsid w:val="1C744503"/>
    <w:rsid w:val="1C7D423D"/>
    <w:rsid w:val="1C7D4442"/>
    <w:rsid w:val="1C803F47"/>
    <w:rsid w:val="1C8771B8"/>
    <w:rsid w:val="1C8E6D34"/>
    <w:rsid w:val="1C900FAB"/>
    <w:rsid w:val="1C9B1C1E"/>
    <w:rsid w:val="1CA957DA"/>
    <w:rsid w:val="1CAE698A"/>
    <w:rsid w:val="1CBA2348"/>
    <w:rsid w:val="1CC87B31"/>
    <w:rsid w:val="1CCC5A23"/>
    <w:rsid w:val="1CD0647E"/>
    <w:rsid w:val="1CD2729D"/>
    <w:rsid w:val="1CD352E0"/>
    <w:rsid w:val="1CD51C99"/>
    <w:rsid w:val="1CDF0421"/>
    <w:rsid w:val="1CEC31DF"/>
    <w:rsid w:val="1CFB4E37"/>
    <w:rsid w:val="1CFD2B84"/>
    <w:rsid w:val="1D14545F"/>
    <w:rsid w:val="1D201ED0"/>
    <w:rsid w:val="1D2314E3"/>
    <w:rsid w:val="1D2322DD"/>
    <w:rsid w:val="1D2500A3"/>
    <w:rsid w:val="1D297A13"/>
    <w:rsid w:val="1D384BC4"/>
    <w:rsid w:val="1D386A3F"/>
    <w:rsid w:val="1D484B1D"/>
    <w:rsid w:val="1D4932B7"/>
    <w:rsid w:val="1D4A0D6B"/>
    <w:rsid w:val="1D4D4E39"/>
    <w:rsid w:val="1D5E1479"/>
    <w:rsid w:val="1D603809"/>
    <w:rsid w:val="1D61048C"/>
    <w:rsid w:val="1D6D0F93"/>
    <w:rsid w:val="1D7726E9"/>
    <w:rsid w:val="1D783268"/>
    <w:rsid w:val="1D7B37EC"/>
    <w:rsid w:val="1D7B7179"/>
    <w:rsid w:val="1D7F30FC"/>
    <w:rsid w:val="1D83296E"/>
    <w:rsid w:val="1D8A097C"/>
    <w:rsid w:val="1D9472BF"/>
    <w:rsid w:val="1D952040"/>
    <w:rsid w:val="1D9B6DF4"/>
    <w:rsid w:val="1D9E3BCF"/>
    <w:rsid w:val="1DA03E80"/>
    <w:rsid w:val="1DA167EF"/>
    <w:rsid w:val="1DA75348"/>
    <w:rsid w:val="1DAD6772"/>
    <w:rsid w:val="1DAD7E07"/>
    <w:rsid w:val="1DB010AB"/>
    <w:rsid w:val="1DB67FC0"/>
    <w:rsid w:val="1DB97DFF"/>
    <w:rsid w:val="1DBA15E6"/>
    <w:rsid w:val="1DBB7F27"/>
    <w:rsid w:val="1DC74383"/>
    <w:rsid w:val="1DC92E21"/>
    <w:rsid w:val="1DC92F91"/>
    <w:rsid w:val="1DCB31AB"/>
    <w:rsid w:val="1DCC4987"/>
    <w:rsid w:val="1DD55CF5"/>
    <w:rsid w:val="1DDD6CA8"/>
    <w:rsid w:val="1DE36FA2"/>
    <w:rsid w:val="1DE83253"/>
    <w:rsid w:val="1DEA71B6"/>
    <w:rsid w:val="1DFA2AAF"/>
    <w:rsid w:val="1E0F33C7"/>
    <w:rsid w:val="1E16792E"/>
    <w:rsid w:val="1E180FCB"/>
    <w:rsid w:val="1E20430E"/>
    <w:rsid w:val="1E243197"/>
    <w:rsid w:val="1E2B0EA4"/>
    <w:rsid w:val="1E483E9B"/>
    <w:rsid w:val="1E4D5A04"/>
    <w:rsid w:val="1E572960"/>
    <w:rsid w:val="1E5A0736"/>
    <w:rsid w:val="1E6D4B37"/>
    <w:rsid w:val="1E7B3D90"/>
    <w:rsid w:val="1E80111B"/>
    <w:rsid w:val="1E8079E2"/>
    <w:rsid w:val="1E8E4A76"/>
    <w:rsid w:val="1E986885"/>
    <w:rsid w:val="1E9E6043"/>
    <w:rsid w:val="1EA03FAE"/>
    <w:rsid w:val="1EA675D9"/>
    <w:rsid w:val="1EAC455F"/>
    <w:rsid w:val="1EB225E7"/>
    <w:rsid w:val="1EB3024D"/>
    <w:rsid w:val="1EB93281"/>
    <w:rsid w:val="1EB95A2D"/>
    <w:rsid w:val="1EBA4E19"/>
    <w:rsid w:val="1EC35E4A"/>
    <w:rsid w:val="1ECD5DF4"/>
    <w:rsid w:val="1ED70174"/>
    <w:rsid w:val="1ED9347D"/>
    <w:rsid w:val="1ED97148"/>
    <w:rsid w:val="1EDC19E6"/>
    <w:rsid w:val="1EDD01F7"/>
    <w:rsid w:val="1EE44415"/>
    <w:rsid w:val="1EE51C0D"/>
    <w:rsid w:val="1EE61C48"/>
    <w:rsid w:val="1EE9382B"/>
    <w:rsid w:val="1EE974AA"/>
    <w:rsid w:val="1EEE768F"/>
    <w:rsid w:val="1EEF603C"/>
    <w:rsid w:val="1EF21517"/>
    <w:rsid w:val="1EF5150E"/>
    <w:rsid w:val="1EF93C56"/>
    <w:rsid w:val="1EFF4794"/>
    <w:rsid w:val="1F046C95"/>
    <w:rsid w:val="1F0A7203"/>
    <w:rsid w:val="1F0B00F7"/>
    <w:rsid w:val="1F0D060E"/>
    <w:rsid w:val="1F106608"/>
    <w:rsid w:val="1F172BC3"/>
    <w:rsid w:val="1F1770F5"/>
    <w:rsid w:val="1F1B0475"/>
    <w:rsid w:val="1F1B270C"/>
    <w:rsid w:val="1F213F6B"/>
    <w:rsid w:val="1F2C336E"/>
    <w:rsid w:val="1F2F4D5A"/>
    <w:rsid w:val="1F3030E9"/>
    <w:rsid w:val="1F3411AD"/>
    <w:rsid w:val="1F38679F"/>
    <w:rsid w:val="1F46070E"/>
    <w:rsid w:val="1F4661CB"/>
    <w:rsid w:val="1F4B1052"/>
    <w:rsid w:val="1F4C7BF4"/>
    <w:rsid w:val="1F4F6BF0"/>
    <w:rsid w:val="1F501AAA"/>
    <w:rsid w:val="1F567C5C"/>
    <w:rsid w:val="1F5D5E1A"/>
    <w:rsid w:val="1F615786"/>
    <w:rsid w:val="1F625AF4"/>
    <w:rsid w:val="1F627B98"/>
    <w:rsid w:val="1F651444"/>
    <w:rsid w:val="1F694629"/>
    <w:rsid w:val="1F696D42"/>
    <w:rsid w:val="1F6C6E2A"/>
    <w:rsid w:val="1F741B1D"/>
    <w:rsid w:val="1F7763C1"/>
    <w:rsid w:val="1F8204A4"/>
    <w:rsid w:val="1F8564DA"/>
    <w:rsid w:val="1F885C0E"/>
    <w:rsid w:val="1F903FAD"/>
    <w:rsid w:val="1F953C14"/>
    <w:rsid w:val="1F987D8B"/>
    <w:rsid w:val="1FA56F6D"/>
    <w:rsid w:val="1FA96875"/>
    <w:rsid w:val="1FAB5951"/>
    <w:rsid w:val="1FB01EAB"/>
    <w:rsid w:val="1FB84898"/>
    <w:rsid w:val="1FC55DB5"/>
    <w:rsid w:val="1FD9111E"/>
    <w:rsid w:val="1FDE63FD"/>
    <w:rsid w:val="1FE84179"/>
    <w:rsid w:val="1FF437C2"/>
    <w:rsid w:val="1FF6377C"/>
    <w:rsid w:val="20045978"/>
    <w:rsid w:val="2008739A"/>
    <w:rsid w:val="200F435B"/>
    <w:rsid w:val="20106421"/>
    <w:rsid w:val="20132BAC"/>
    <w:rsid w:val="201E181E"/>
    <w:rsid w:val="2020276E"/>
    <w:rsid w:val="202C3920"/>
    <w:rsid w:val="202F4422"/>
    <w:rsid w:val="20304756"/>
    <w:rsid w:val="203244FE"/>
    <w:rsid w:val="203B397F"/>
    <w:rsid w:val="203C5F6F"/>
    <w:rsid w:val="204374FB"/>
    <w:rsid w:val="20467D4B"/>
    <w:rsid w:val="204963B2"/>
    <w:rsid w:val="204B4568"/>
    <w:rsid w:val="204C7D24"/>
    <w:rsid w:val="205165AA"/>
    <w:rsid w:val="205250F2"/>
    <w:rsid w:val="205B3565"/>
    <w:rsid w:val="206466AF"/>
    <w:rsid w:val="206902C9"/>
    <w:rsid w:val="20717D1C"/>
    <w:rsid w:val="2076766F"/>
    <w:rsid w:val="207E543F"/>
    <w:rsid w:val="20805822"/>
    <w:rsid w:val="20812539"/>
    <w:rsid w:val="20836ABB"/>
    <w:rsid w:val="208845EB"/>
    <w:rsid w:val="208A1B54"/>
    <w:rsid w:val="208E4172"/>
    <w:rsid w:val="20A349DD"/>
    <w:rsid w:val="20A36795"/>
    <w:rsid w:val="20A577EF"/>
    <w:rsid w:val="20AF40F3"/>
    <w:rsid w:val="20B031A9"/>
    <w:rsid w:val="20B621E1"/>
    <w:rsid w:val="20BA18DA"/>
    <w:rsid w:val="20BB56D5"/>
    <w:rsid w:val="20BC0E8C"/>
    <w:rsid w:val="20C156D2"/>
    <w:rsid w:val="20C64A37"/>
    <w:rsid w:val="20CB78F5"/>
    <w:rsid w:val="20CD585E"/>
    <w:rsid w:val="20CF766B"/>
    <w:rsid w:val="20D1191B"/>
    <w:rsid w:val="20D7030B"/>
    <w:rsid w:val="20DD357A"/>
    <w:rsid w:val="20E10DF3"/>
    <w:rsid w:val="20EF36AA"/>
    <w:rsid w:val="20F36CE3"/>
    <w:rsid w:val="20F4192C"/>
    <w:rsid w:val="20F52A75"/>
    <w:rsid w:val="21064471"/>
    <w:rsid w:val="21073550"/>
    <w:rsid w:val="21102EF2"/>
    <w:rsid w:val="21141FFA"/>
    <w:rsid w:val="2118590A"/>
    <w:rsid w:val="211E28C4"/>
    <w:rsid w:val="21214785"/>
    <w:rsid w:val="212A4360"/>
    <w:rsid w:val="212C3BBC"/>
    <w:rsid w:val="213C315A"/>
    <w:rsid w:val="21414CD2"/>
    <w:rsid w:val="2145154D"/>
    <w:rsid w:val="21497F06"/>
    <w:rsid w:val="214B0F65"/>
    <w:rsid w:val="214C71DE"/>
    <w:rsid w:val="214E353C"/>
    <w:rsid w:val="21506CC3"/>
    <w:rsid w:val="215108C2"/>
    <w:rsid w:val="215822C6"/>
    <w:rsid w:val="215D1516"/>
    <w:rsid w:val="215E2CFB"/>
    <w:rsid w:val="215F0841"/>
    <w:rsid w:val="216146F2"/>
    <w:rsid w:val="21621305"/>
    <w:rsid w:val="216455CD"/>
    <w:rsid w:val="21673554"/>
    <w:rsid w:val="216A24B9"/>
    <w:rsid w:val="216D1AE3"/>
    <w:rsid w:val="216D462E"/>
    <w:rsid w:val="216F388D"/>
    <w:rsid w:val="217A7E1C"/>
    <w:rsid w:val="217B1B8C"/>
    <w:rsid w:val="218171E4"/>
    <w:rsid w:val="218B07A5"/>
    <w:rsid w:val="218C265A"/>
    <w:rsid w:val="218D507A"/>
    <w:rsid w:val="21974DAA"/>
    <w:rsid w:val="21A0183B"/>
    <w:rsid w:val="21A4750F"/>
    <w:rsid w:val="21A937E6"/>
    <w:rsid w:val="21AD6F50"/>
    <w:rsid w:val="21AE1BC8"/>
    <w:rsid w:val="21B236A3"/>
    <w:rsid w:val="21B40AC2"/>
    <w:rsid w:val="21B82C08"/>
    <w:rsid w:val="21CA2DF9"/>
    <w:rsid w:val="21D6028F"/>
    <w:rsid w:val="21D66481"/>
    <w:rsid w:val="21D707D0"/>
    <w:rsid w:val="21D73792"/>
    <w:rsid w:val="21D76071"/>
    <w:rsid w:val="21D95296"/>
    <w:rsid w:val="21DB7F75"/>
    <w:rsid w:val="21DC31A7"/>
    <w:rsid w:val="21DD0F6E"/>
    <w:rsid w:val="21DF2ED8"/>
    <w:rsid w:val="21DF6778"/>
    <w:rsid w:val="21E32268"/>
    <w:rsid w:val="21E429E5"/>
    <w:rsid w:val="21E75FE9"/>
    <w:rsid w:val="21E84A4D"/>
    <w:rsid w:val="21EE0AA1"/>
    <w:rsid w:val="21EF6DC8"/>
    <w:rsid w:val="21F80DED"/>
    <w:rsid w:val="21FF7F5E"/>
    <w:rsid w:val="2208666C"/>
    <w:rsid w:val="220E74EF"/>
    <w:rsid w:val="22181FFD"/>
    <w:rsid w:val="221C49DC"/>
    <w:rsid w:val="222059AE"/>
    <w:rsid w:val="2222193B"/>
    <w:rsid w:val="2226421A"/>
    <w:rsid w:val="22271AEC"/>
    <w:rsid w:val="222B34AE"/>
    <w:rsid w:val="222D4308"/>
    <w:rsid w:val="22312469"/>
    <w:rsid w:val="22324A29"/>
    <w:rsid w:val="223806C4"/>
    <w:rsid w:val="223822E0"/>
    <w:rsid w:val="22397B46"/>
    <w:rsid w:val="22451FAC"/>
    <w:rsid w:val="224531D5"/>
    <w:rsid w:val="224E6C54"/>
    <w:rsid w:val="22530693"/>
    <w:rsid w:val="22582B2D"/>
    <w:rsid w:val="2259261A"/>
    <w:rsid w:val="22597313"/>
    <w:rsid w:val="225B2609"/>
    <w:rsid w:val="225B5EFD"/>
    <w:rsid w:val="22685407"/>
    <w:rsid w:val="226912E1"/>
    <w:rsid w:val="226C1521"/>
    <w:rsid w:val="227C2371"/>
    <w:rsid w:val="227D0640"/>
    <w:rsid w:val="22824DAC"/>
    <w:rsid w:val="228F0B42"/>
    <w:rsid w:val="22986D92"/>
    <w:rsid w:val="22992606"/>
    <w:rsid w:val="22A00EDA"/>
    <w:rsid w:val="22A54B9D"/>
    <w:rsid w:val="22A60967"/>
    <w:rsid w:val="22A66CEE"/>
    <w:rsid w:val="22A8385F"/>
    <w:rsid w:val="22AC518B"/>
    <w:rsid w:val="22AC5D6B"/>
    <w:rsid w:val="22AD2390"/>
    <w:rsid w:val="22AF0474"/>
    <w:rsid w:val="22B70A53"/>
    <w:rsid w:val="22BC2EAB"/>
    <w:rsid w:val="22BE769A"/>
    <w:rsid w:val="22C62F3A"/>
    <w:rsid w:val="22C6562C"/>
    <w:rsid w:val="22D232AF"/>
    <w:rsid w:val="22DD7932"/>
    <w:rsid w:val="22E54C84"/>
    <w:rsid w:val="22E87533"/>
    <w:rsid w:val="22EE1DB5"/>
    <w:rsid w:val="22F85019"/>
    <w:rsid w:val="22FE504B"/>
    <w:rsid w:val="2304032F"/>
    <w:rsid w:val="23076CCD"/>
    <w:rsid w:val="2308445C"/>
    <w:rsid w:val="23194685"/>
    <w:rsid w:val="231A3B98"/>
    <w:rsid w:val="23235120"/>
    <w:rsid w:val="23241244"/>
    <w:rsid w:val="232E057D"/>
    <w:rsid w:val="23306D85"/>
    <w:rsid w:val="2334005F"/>
    <w:rsid w:val="23346B2E"/>
    <w:rsid w:val="233C064B"/>
    <w:rsid w:val="234434FE"/>
    <w:rsid w:val="234C5E23"/>
    <w:rsid w:val="23514DEF"/>
    <w:rsid w:val="2353667F"/>
    <w:rsid w:val="2355417C"/>
    <w:rsid w:val="235C04C8"/>
    <w:rsid w:val="23642156"/>
    <w:rsid w:val="236E6CFA"/>
    <w:rsid w:val="23702507"/>
    <w:rsid w:val="23756E9E"/>
    <w:rsid w:val="2377657C"/>
    <w:rsid w:val="237D6570"/>
    <w:rsid w:val="237F295E"/>
    <w:rsid w:val="23842A3C"/>
    <w:rsid w:val="23887B27"/>
    <w:rsid w:val="238D3FA8"/>
    <w:rsid w:val="238D4823"/>
    <w:rsid w:val="23910C50"/>
    <w:rsid w:val="23954C2D"/>
    <w:rsid w:val="23955D28"/>
    <w:rsid w:val="23996E8B"/>
    <w:rsid w:val="239B3CDD"/>
    <w:rsid w:val="239D07A1"/>
    <w:rsid w:val="23A26EBE"/>
    <w:rsid w:val="23A4437F"/>
    <w:rsid w:val="23A672F1"/>
    <w:rsid w:val="23AE2B05"/>
    <w:rsid w:val="23B24930"/>
    <w:rsid w:val="23B35621"/>
    <w:rsid w:val="23B35C35"/>
    <w:rsid w:val="23B673C8"/>
    <w:rsid w:val="23B83610"/>
    <w:rsid w:val="23C32427"/>
    <w:rsid w:val="23C71A6D"/>
    <w:rsid w:val="23CC3875"/>
    <w:rsid w:val="23CC6B6B"/>
    <w:rsid w:val="23CD6696"/>
    <w:rsid w:val="23D04DD0"/>
    <w:rsid w:val="23D343F3"/>
    <w:rsid w:val="23E07F83"/>
    <w:rsid w:val="23E93B6C"/>
    <w:rsid w:val="23E95518"/>
    <w:rsid w:val="23F374D0"/>
    <w:rsid w:val="23F64AA1"/>
    <w:rsid w:val="23F730EF"/>
    <w:rsid w:val="23FB74D0"/>
    <w:rsid w:val="23FD353C"/>
    <w:rsid w:val="23FD44F8"/>
    <w:rsid w:val="23FE636C"/>
    <w:rsid w:val="23FFB5BD"/>
    <w:rsid w:val="24003786"/>
    <w:rsid w:val="24010CAB"/>
    <w:rsid w:val="24040EFC"/>
    <w:rsid w:val="24067A2F"/>
    <w:rsid w:val="2409574A"/>
    <w:rsid w:val="240B5325"/>
    <w:rsid w:val="241005CE"/>
    <w:rsid w:val="24223A12"/>
    <w:rsid w:val="2426054A"/>
    <w:rsid w:val="242A18C1"/>
    <w:rsid w:val="242C73E8"/>
    <w:rsid w:val="242F4FC2"/>
    <w:rsid w:val="243040F9"/>
    <w:rsid w:val="243126A9"/>
    <w:rsid w:val="24405518"/>
    <w:rsid w:val="24417CBD"/>
    <w:rsid w:val="24425519"/>
    <w:rsid w:val="244A5EF0"/>
    <w:rsid w:val="245B7910"/>
    <w:rsid w:val="245C7694"/>
    <w:rsid w:val="247731AD"/>
    <w:rsid w:val="247A3F07"/>
    <w:rsid w:val="247C39BA"/>
    <w:rsid w:val="248649EE"/>
    <w:rsid w:val="24870200"/>
    <w:rsid w:val="248A550E"/>
    <w:rsid w:val="248E60AB"/>
    <w:rsid w:val="248F7F5F"/>
    <w:rsid w:val="249321AD"/>
    <w:rsid w:val="2498158E"/>
    <w:rsid w:val="24982BDB"/>
    <w:rsid w:val="249D35FE"/>
    <w:rsid w:val="24A02172"/>
    <w:rsid w:val="24A3321F"/>
    <w:rsid w:val="24A64038"/>
    <w:rsid w:val="24AD4539"/>
    <w:rsid w:val="24B06185"/>
    <w:rsid w:val="24B1553E"/>
    <w:rsid w:val="24B97EC4"/>
    <w:rsid w:val="24BC0904"/>
    <w:rsid w:val="24BF6862"/>
    <w:rsid w:val="24C10D8A"/>
    <w:rsid w:val="24C47F60"/>
    <w:rsid w:val="24D66367"/>
    <w:rsid w:val="24DB697D"/>
    <w:rsid w:val="24E9324B"/>
    <w:rsid w:val="24EA1F55"/>
    <w:rsid w:val="24ED6336"/>
    <w:rsid w:val="24F3392D"/>
    <w:rsid w:val="24F44B8C"/>
    <w:rsid w:val="24FD0ABB"/>
    <w:rsid w:val="25035C9C"/>
    <w:rsid w:val="250C192C"/>
    <w:rsid w:val="250E0B94"/>
    <w:rsid w:val="25174E6F"/>
    <w:rsid w:val="25174EE8"/>
    <w:rsid w:val="252550F4"/>
    <w:rsid w:val="25282714"/>
    <w:rsid w:val="25284421"/>
    <w:rsid w:val="252C5CAE"/>
    <w:rsid w:val="25302197"/>
    <w:rsid w:val="25401E44"/>
    <w:rsid w:val="2544354C"/>
    <w:rsid w:val="25495571"/>
    <w:rsid w:val="254E3388"/>
    <w:rsid w:val="25550316"/>
    <w:rsid w:val="255E1C18"/>
    <w:rsid w:val="25682957"/>
    <w:rsid w:val="25687114"/>
    <w:rsid w:val="25740F49"/>
    <w:rsid w:val="2575122C"/>
    <w:rsid w:val="257639A6"/>
    <w:rsid w:val="25774D38"/>
    <w:rsid w:val="25786532"/>
    <w:rsid w:val="257B0F88"/>
    <w:rsid w:val="258A4AE4"/>
    <w:rsid w:val="258D4BB5"/>
    <w:rsid w:val="25905042"/>
    <w:rsid w:val="259426A3"/>
    <w:rsid w:val="2596612A"/>
    <w:rsid w:val="25985A9E"/>
    <w:rsid w:val="259F1587"/>
    <w:rsid w:val="25A4315A"/>
    <w:rsid w:val="25A44630"/>
    <w:rsid w:val="25AE4514"/>
    <w:rsid w:val="25AF7682"/>
    <w:rsid w:val="25C90068"/>
    <w:rsid w:val="25CC55FB"/>
    <w:rsid w:val="25CE105F"/>
    <w:rsid w:val="25CF5926"/>
    <w:rsid w:val="25D71CAC"/>
    <w:rsid w:val="25DA17F8"/>
    <w:rsid w:val="25DC616A"/>
    <w:rsid w:val="25E408B3"/>
    <w:rsid w:val="25E43D91"/>
    <w:rsid w:val="25F04188"/>
    <w:rsid w:val="25F61F7B"/>
    <w:rsid w:val="25FF3A58"/>
    <w:rsid w:val="260339D7"/>
    <w:rsid w:val="26120CEE"/>
    <w:rsid w:val="26154D02"/>
    <w:rsid w:val="26176CC6"/>
    <w:rsid w:val="261B4102"/>
    <w:rsid w:val="261E147A"/>
    <w:rsid w:val="262711AC"/>
    <w:rsid w:val="2628052E"/>
    <w:rsid w:val="26281125"/>
    <w:rsid w:val="26367A5A"/>
    <w:rsid w:val="263E6BFF"/>
    <w:rsid w:val="264E62F7"/>
    <w:rsid w:val="26551118"/>
    <w:rsid w:val="26583CDC"/>
    <w:rsid w:val="26697AF8"/>
    <w:rsid w:val="26710E6F"/>
    <w:rsid w:val="26740DFC"/>
    <w:rsid w:val="26767EAC"/>
    <w:rsid w:val="267830AE"/>
    <w:rsid w:val="268443FC"/>
    <w:rsid w:val="268643FB"/>
    <w:rsid w:val="26923C4B"/>
    <w:rsid w:val="269C0EE7"/>
    <w:rsid w:val="26A84E5E"/>
    <w:rsid w:val="26A93BD2"/>
    <w:rsid w:val="26AE143A"/>
    <w:rsid w:val="26B4043D"/>
    <w:rsid w:val="26B765F5"/>
    <w:rsid w:val="26BF06CE"/>
    <w:rsid w:val="26D71646"/>
    <w:rsid w:val="26DF62EA"/>
    <w:rsid w:val="26E73E56"/>
    <w:rsid w:val="26E906BB"/>
    <w:rsid w:val="26EA6DBC"/>
    <w:rsid w:val="26EB02E7"/>
    <w:rsid w:val="26EB163C"/>
    <w:rsid w:val="26F5731F"/>
    <w:rsid w:val="26FD79B9"/>
    <w:rsid w:val="26FF1400"/>
    <w:rsid w:val="270A4961"/>
    <w:rsid w:val="27104EAB"/>
    <w:rsid w:val="27105AED"/>
    <w:rsid w:val="27111810"/>
    <w:rsid w:val="27187825"/>
    <w:rsid w:val="271E204D"/>
    <w:rsid w:val="27207AD7"/>
    <w:rsid w:val="27243914"/>
    <w:rsid w:val="272E2D93"/>
    <w:rsid w:val="27314507"/>
    <w:rsid w:val="27370645"/>
    <w:rsid w:val="273833DE"/>
    <w:rsid w:val="27386B55"/>
    <w:rsid w:val="273D742B"/>
    <w:rsid w:val="273F5A7C"/>
    <w:rsid w:val="27427204"/>
    <w:rsid w:val="274735E2"/>
    <w:rsid w:val="274A25A9"/>
    <w:rsid w:val="275E38F5"/>
    <w:rsid w:val="27677D07"/>
    <w:rsid w:val="276C53BD"/>
    <w:rsid w:val="2776478A"/>
    <w:rsid w:val="277B6B8E"/>
    <w:rsid w:val="277F47C2"/>
    <w:rsid w:val="27844536"/>
    <w:rsid w:val="27865C47"/>
    <w:rsid w:val="278663A6"/>
    <w:rsid w:val="278901FC"/>
    <w:rsid w:val="278A3AFA"/>
    <w:rsid w:val="27B715FC"/>
    <w:rsid w:val="27C04B89"/>
    <w:rsid w:val="27C1058E"/>
    <w:rsid w:val="27C57FCF"/>
    <w:rsid w:val="27CB651D"/>
    <w:rsid w:val="27CC5688"/>
    <w:rsid w:val="27CE290F"/>
    <w:rsid w:val="27FA48F9"/>
    <w:rsid w:val="27FB04AE"/>
    <w:rsid w:val="28007D81"/>
    <w:rsid w:val="28034B7E"/>
    <w:rsid w:val="28117600"/>
    <w:rsid w:val="28141309"/>
    <w:rsid w:val="28193DFD"/>
    <w:rsid w:val="282A7CC9"/>
    <w:rsid w:val="282B06C4"/>
    <w:rsid w:val="282C2E1C"/>
    <w:rsid w:val="28366AD9"/>
    <w:rsid w:val="283B700D"/>
    <w:rsid w:val="284344D4"/>
    <w:rsid w:val="28455ACE"/>
    <w:rsid w:val="28532DDB"/>
    <w:rsid w:val="28550131"/>
    <w:rsid w:val="2855098F"/>
    <w:rsid w:val="28552967"/>
    <w:rsid w:val="285A3508"/>
    <w:rsid w:val="285C0AD7"/>
    <w:rsid w:val="28654415"/>
    <w:rsid w:val="286650A1"/>
    <w:rsid w:val="286C4AB4"/>
    <w:rsid w:val="28782BAF"/>
    <w:rsid w:val="2879166E"/>
    <w:rsid w:val="2882076F"/>
    <w:rsid w:val="288324DF"/>
    <w:rsid w:val="28863E08"/>
    <w:rsid w:val="28865C9F"/>
    <w:rsid w:val="28877D21"/>
    <w:rsid w:val="288876B1"/>
    <w:rsid w:val="288B3BEA"/>
    <w:rsid w:val="288D13D9"/>
    <w:rsid w:val="289178C3"/>
    <w:rsid w:val="289233D8"/>
    <w:rsid w:val="289C0651"/>
    <w:rsid w:val="289E56C6"/>
    <w:rsid w:val="28A122A5"/>
    <w:rsid w:val="28A139E0"/>
    <w:rsid w:val="28A2549A"/>
    <w:rsid w:val="28A8213E"/>
    <w:rsid w:val="28A83E48"/>
    <w:rsid w:val="28AF1C1C"/>
    <w:rsid w:val="28AF41A3"/>
    <w:rsid w:val="28B064B6"/>
    <w:rsid w:val="28B93370"/>
    <w:rsid w:val="28BA29A6"/>
    <w:rsid w:val="28BB698A"/>
    <w:rsid w:val="28BF466B"/>
    <w:rsid w:val="28C157CF"/>
    <w:rsid w:val="28C508B0"/>
    <w:rsid w:val="28C63AED"/>
    <w:rsid w:val="28C87F4D"/>
    <w:rsid w:val="28CE784F"/>
    <w:rsid w:val="28E25A29"/>
    <w:rsid w:val="28E566D0"/>
    <w:rsid w:val="28E64296"/>
    <w:rsid w:val="28EB256D"/>
    <w:rsid w:val="28EB6197"/>
    <w:rsid w:val="28EC1051"/>
    <w:rsid w:val="28EE484C"/>
    <w:rsid w:val="28F52D63"/>
    <w:rsid w:val="28FE048F"/>
    <w:rsid w:val="29025B88"/>
    <w:rsid w:val="290B4E3C"/>
    <w:rsid w:val="290C7211"/>
    <w:rsid w:val="29103958"/>
    <w:rsid w:val="29132313"/>
    <w:rsid w:val="2915532E"/>
    <w:rsid w:val="291600B9"/>
    <w:rsid w:val="291725E0"/>
    <w:rsid w:val="291761D1"/>
    <w:rsid w:val="291F1359"/>
    <w:rsid w:val="292322E4"/>
    <w:rsid w:val="292728C6"/>
    <w:rsid w:val="29291E09"/>
    <w:rsid w:val="292A396D"/>
    <w:rsid w:val="292B612F"/>
    <w:rsid w:val="29352571"/>
    <w:rsid w:val="293A6066"/>
    <w:rsid w:val="293D5638"/>
    <w:rsid w:val="29477CF2"/>
    <w:rsid w:val="294C6C63"/>
    <w:rsid w:val="294D58D2"/>
    <w:rsid w:val="295310C1"/>
    <w:rsid w:val="2954467C"/>
    <w:rsid w:val="295C2696"/>
    <w:rsid w:val="295E14F5"/>
    <w:rsid w:val="29603031"/>
    <w:rsid w:val="296875F1"/>
    <w:rsid w:val="29757333"/>
    <w:rsid w:val="297C5D38"/>
    <w:rsid w:val="298800B5"/>
    <w:rsid w:val="29980DF4"/>
    <w:rsid w:val="29985A96"/>
    <w:rsid w:val="29994CBA"/>
    <w:rsid w:val="29A43D32"/>
    <w:rsid w:val="29A76B46"/>
    <w:rsid w:val="29AB15BD"/>
    <w:rsid w:val="29AB1FDE"/>
    <w:rsid w:val="29B5023B"/>
    <w:rsid w:val="29C75E0E"/>
    <w:rsid w:val="29CF5ABF"/>
    <w:rsid w:val="29D4587F"/>
    <w:rsid w:val="29D564EA"/>
    <w:rsid w:val="2A0473FE"/>
    <w:rsid w:val="2A056E23"/>
    <w:rsid w:val="2A0B7CFB"/>
    <w:rsid w:val="2A117DB1"/>
    <w:rsid w:val="2A1D315C"/>
    <w:rsid w:val="2A21161A"/>
    <w:rsid w:val="2A2268C3"/>
    <w:rsid w:val="2A273B33"/>
    <w:rsid w:val="2A2777B4"/>
    <w:rsid w:val="2A280C0D"/>
    <w:rsid w:val="2A371B67"/>
    <w:rsid w:val="2A3968AE"/>
    <w:rsid w:val="2A416E5A"/>
    <w:rsid w:val="2A4672ED"/>
    <w:rsid w:val="2A4929B3"/>
    <w:rsid w:val="2A4A0EFD"/>
    <w:rsid w:val="2A4F52A2"/>
    <w:rsid w:val="2A546053"/>
    <w:rsid w:val="2A574275"/>
    <w:rsid w:val="2A5D2D2B"/>
    <w:rsid w:val="2A725A1F"/>
    <w:rsid w:val="2A7428F0"/>
    <w:rsid w:val="2A777AAE"/>
    <w:rsid w:val="2A7A1D2F"/>
    <w:rsid w:val="2A7A50B1"/>
    <w:rsid w:val="2A840F85"/>
    <w:rsid w:val="2A8668D4"/>
    <w:rsid w:val="2A894C68"/>
    <w:rsid w:val="2A8A75EF"/>
    <w:rsid w:val="2A8F1F15"/>
    <w:rsid w:val="2A945BEA"/>
    <w:rsid w:val="2A982692"/>
    <w:rsid w:val="2A9A540B"/>
    <w:rsid w:val="2A9E363C"/>
    <w:rsid w:val="2A9F6127"/>
    <w:rsid w:val="2AA05C78"/>
    <w:rsid w:val="2AA064D5"/>
    <w:rsid w:val="2AA52BC8"/>
    <w:rsid w:val="2AA7527C"/>
    <w:rsid w:val="2AAD38FF"/>
    <w:rsid w:val="2AB02D67"/>
    <w:rsid w:val="2AB90188"/>
    <w:rsid w:val="2ABC141D"/>
    <w:rsid w:val="2ABC1DA2"/>
    <w:rsid w:val="2ABC7B85"/>
    <w:rsid w:val="2AC00FF2"/>
    <w:rsid w:val="2AC1431A"/>
    <w:rsid w:val="2AC371DA"/>
    <w:rsid w:val="2AC5383F"/>
    <w:rsid w:val="2AC5745A"/>
    <w:rsid w:val="2ACA1C6B"/>
    <w:rsid w:val="2ACD1B61"/>
    <w:rsid w:val="2AD34421"/>
    <w:rsid w:val="2AD85B13"/>
    <w:rsid w:val="2AE037E8"/>
    <w:rsid w:val="2AE21EB2"/>
    <w:rsid w:val="2AE66D4D"/>
    <w:rsid w:val="2AE736E9"/>
    <w:rsid w:val="2AEB40EC"/>
    <w:rsid w:val="2AF07766"/>
    <w:rsid w:val="2AF9113A"/>
    <w:rsid w:val="2B0C136F"/>
    <w:rsid w:val="2B0D4B1F"/>
    <w:rsid w:val="2B132C2D"/>
    <w:rsid w:val="2B1831BE"/>
    <w:rsid w:val="2B1D3F8B"/>
    <w:rsid w:val="2B283477"/>
    <w:rsid w:val="2B306298"/>
    <w:rsid w:val="2B33414E"/>
    <w:rsid w:val="2B342DE5"/>
    <w:rsid w:val="2B3A71AD"/>
    <w:rsid w:val="2B3B1DA4"/>
    <w:rsid w:val="2B4746BC"/>
    <w:rsid w:val="2B4802E4"/>
    <w:rsid w:val="2B4D010E"/>
    <w:rsid w:val="2B4F3208"/>
    <w:rsid w:val="2B537314"/>
    <w:rsid w:val="2B556D39"/>
    <w:rsid w:val="2B5724D8"/>
    <w:rsid w:val="2B5A1E25"/>
    <w:rsid w:val="2B5F6FA3"/>
    <w:rsid w:val="2B611669"/>
    <w:rsid w:val="2B621163"/>
    <w:rsid w:val="2B680AC8"/>
    <w:rsid w:val="2B700A50"/>
    <w:rsid w:val="2B7765C9"/>
    <w:rsid w:val="2B783109"/>
    <w:rsid w:val="2B793437"/>
    <w:rsid w:val="2B7B42DF"/>
    <w:rsid w:val="2B7C00E6"/>
    <w:rsid w:val="2B7D3FBB"/>
    <w:rsid w:val="2B8119BC"/>
    <w:rsid w:val="2B8943A5"/>
    <w:rsid w:val="2B8A631F"/>
    <w:rsid w:val="2B8C6999"/>
    <w:rsid w:val="2B8E7035"/>
    <w:rsid w:val="2B954E05"/>
    <w:rsid w:val="2B9C62CA"/>
    <w:rsid w:val="2BA2687F"/>
    <w:rsid w:val="2BA45590"/>
    <w:rsid w:val="2BA82773"/>
    <w:rsid w:val="2BA8735E"/>
    <w:rsid w:val="2BAA0E54"/>
    <w:rsid w:val="2BAF575D"/>
    <w:rsid w:val="2BB509FF"/>
    <w:rsid w:val="2BB86CB0"/>
    <w:rsid w:val="2BBB035E"/>
    <w:rsid w:val="2BBF4F1A"/>
    <w:rsid w:val="2BC1342A"/>
    <w:rsid w:val="2BC2668D"/>
    <w:rsid w:val="2BC508A8"/>
    <w:rsid w:val="2BC6046F"/>
    <w:rsid w:val="2BC72E24"/>
    <w:rsid w:val="2BC9656C"/>
    <w:rsid w:val="2BCC71A5"/>
    <w:rsid w:val="2BD1315C"/>
    <w:rsid w:val="2BD7499D"/>
    <w:rsid w:val="2BD91A57"/>
    <w:rsid w:val="2BE35FAE"/>
    <w:rsid w:val="2BEF2623"/>
    <w:rsid w:val="2BF1234A"/>
    <w:rsid w:val="2BF312C7"/>
    <w:rsid w:val="2BFF1507"/>
    <w:rsid w:val="2C08779E"/>
    <w:rsid w:val="2C1431A1"/>
    <w:rsid w:val="2C1568C7"/>
    <w:rsid w:val="2C2353A2"/>
    <w:rsid w:val="2C2B6D0A"/>
    <w:rsid w:val="2C2C5166"/>
    <w:rsid w:val="2C3969E9"/>
    <w:rsid w:val="2C416522"/>
    <w:rsid w:val="2C4B0A96"/>
    <w:rsid w:val="2C583A8C"/>
    <w:rsid w:val="2C595034"/>
    <w:rsid w:val="2C5A4776"/>
    <w:rsid w:val="2C66543E"/>
    <w:rsid w:val="2C6B5DA7"/>
    <w:rsid w:val="2C6E2095"/>
    <w:rsid w:val="2C6F13E8"/>
    <w:rsid w:val="2C7050D6"/>
    <w:rsid w:val="2C716BE2"/>
    <w:rsid w:val="2C747F4C"/>
    <w:rsid w:val="2C77546A"/>
    <w:rsid w:val="2C793D73"/>
    <w:rsid w:val="2C8144BB"/>
    <w:rsid w:val="2C835551"/>
    <w:rsid w:val="2C94532F"/>
    <w:rsid w:val="2C972655"/>
    <w:rsid w:val="2C9B3823"/>
    <w:rsid w:val="2C9C010A"/>
    <w:rsid w:val="2CA410FB"/>
    <w:rsid w:val="2CA47F33"/>
    <w:rsid w:val="2CA72794"/>
    <w:rsid w:val="2CAB47C4"/>
    <w:rsid w:val="2CAD6540"/>
    <w:rsid w:val="2CB305E9"/>
    <w:rsid w:val="2CC13F5F"/>
    <w:rsid w:val="2CC60544"/>
    <w:rsid w:val="2CC83985"/>
    <w:rsid w:val="2CD070DC"/>
    <w:rsid w:val="2CD75B6E"/>
    <w:rsid w:val="2CE21596"/>
    <w:rsid w:val="2CE4113E"/>
    <w:rsid w:val="2CEC1E9A"/>
    <w:rsid w:val="2CF907BE"/>
    <w:rsid w:val="2CF940FB"/>
    <w:rsid w:val="2CFD1665"/>
    <w:rsid w:val="2CFE4FF5"/>
    <w:rsid w:val="2CFF2F14"/>
    <w:rsid w:val="2D125AE8"/>
    <w:rsid w:val="2D1E6B79"/>
    <w:rsid w:val="2D212E40"/>
    <w:rsid w:val="2D276D97"/>
    <w:rsid w:val="2D2E5F1A"/>
    <w:rsid w:val="2D344702"/>
    <w:rsid w:val="2D3F6FEA"/>
    <w:rsid w:val="2D412E26"/>
    <w:rsid w:val="2D4B7F60"/>
    <w:rsid w:val="2D5105E5"/>
    <w:rsid w:val="2D564312"/>
    <w:rsid w:val="2D564EA0"/>
    <w:rsid w:val="2D59632A"/>
    <w:rsid w:val="2D5C2117"/>
    <w:rsid w:val="2D627554"/>
    <w:rsid w:val="2D641A72"/>
    <w:rsid w:val="2D6B3E35"/>
    <w:rsid w:val="2D722761"/>
    <w:rsid w:val="2D7252A1"/>
    <w:rsid w:val="2D797A33"/>
    <w:rsid w:val="2D7C2B6A"/>
    <w:rsid w:val="2D7C2CF4"/>
    <w:rsid w:val="2D7E6874"/>
    <w:rsid w:val="2D837BB8"/>
    <w:rsid w:val="2D8462CC"/>
    <w:rsid w:val="2D8629DE"/>
    <w:rsid w:val="2D8E461F"/>
    <w:rsid w:val="2D975653"/>
    <w:rsid w:val="2D9B1CCD"/>
    <w:rsid w:val="2DA270FE"/>
    <w:rsid w:val="2DA3237C"/>
    <w:rsid w:val="2DA3549B"/>
    <w:rsid w:val="2DA825DE"/>
    <w:rsid w:val="2DB34878"/>
    <w:rsid w:val="2DB94D36"/>
    <w:rsid w:val="2DBB1DA8"/>
    <w:rsid w:val="2DBE7094"/>
    <w:rsid w:val="2DC234E0"/>
    <w:rsid w:val="2DC802B6"/>
    <w:rsid w:val="2DD01A18"/>
    <w:rsid w:val="2DD858DB"/>
    <w:rsid w:val="2DDE7AD3"/>
    <w:rsid w:val="2DE75297"/>
    <w:rsid w:val="2DE95DEE"/>
    <w:rsid w:val="2DEB3489"/>
    <w:rsid w:val="2DED2F58"/>
    <w:rsid w:val="2DF01F8D"/>
    <w:rsid w:val="2DF126AA"/>
    <w:rsid w:val="2DF7123D"/>
    <w:rsid w:val="2DFC31C4"/>
    <w:rsid w:val="2DFF0C3B"/>
    <w:rsid w:val="2E000343"/>
    <w:rsid w:val="2E021A66"/>
    <w:rsid w:val="2E0350FA"/>
    <w:rsid w:val="2E117C9D"/>
    <w:rsid w:val="2E1214E4"/>
    <w:rsid w:val="2E175E05"/>
    <w:rsid w:val="2E1D69E0"/>
    <w:rsid w:val="2E1E38AE"/>
    <w:rsid w:val="2E1E7907"/>
    <w:rsid w:val="2E2603A5"/>
    <w:rsid w:val="2E2C74C2"/>
    <w:rsid w:val="2E2D570B"/>
    <w:rsid w:val="2E380DF0"/>
    <w:rsid w:val="2E395B37"/>
    <w:rsid w:val="2E4034DC"/>
    <w:rsid w:val="2E4B6EC6"/>
    <w:rsid w:val="2E4D15E5"/>
    <w:rsid w:val="2E55780B"/>
    <w:rsid w:val="2E644DF0"/>
    <w:rsid w:val="2E647ABE"/>
    <w:rsid w:val="2E685FDF"/>
    <w:rsid w:val="2E71274F"/>
    <w:rsid w:val="2E740F48"/>
    <w:rsid w:val="2E7464A5"/>
    <w:rsid w:val="2E764971"/>
    <w:rsid w:val="2E7A440D"/>
    <w:rsid w:val="2E8A1B8A"/>
    <w:rsid w:val="2E90383B"/>
    <w:rsid w:val="2E920C15"/>
    <w:rsid w:val="2E971B90"/>
    <w:rsid w:val="2E991E0E"/>
    <w:rsid w:val="2EA279D5"/>
    <w:rsid w:val="2EAD05DD"/>
    <w:rsid w:val="2EAD68A1"/>
    <w:rsid w:val="2EC01E37"/>
    <w:rsid w:val="2EC465CC"/>
    <w:rsid w:val="2EC46D9D"/>
    <w:rsid w:val="2ECA32C9"/>
    <w:rsid w:val="2ECB65D0"/>
    <w:rsid w:val="2ED43AB8"/>
    <w:rsid w:val="2EDC4FF4"/>
    <w:rsid w:val="2EE04875"/>
    <w:rsid w:val="2EE16B3C"/>
    <w:rsid w:val="2EE552FA"/>
    <w:rsid w:val="2EEE1FE5"/>
    <w:rsid w:val="2EF1326A"/>
    <w:rsid w:val="2EF14241"/>
    <w:rsid w:val="2EF32A7E"/>
    <w:rsid w:val="2F0063E3"/>
    <w:rsid w:val="2F036396"/>
    <w:rsid w:val="2F0C6ACF"/>
    <w:rsid w:val="2F222063"/>
    <w:rsid w:val="2F276E33"/>
    <w:rsid w:val="2F2F6FE3"/>
    <w:rsid w:val="2F317788"/>
    <w:rsid w:val="2F3208E7"/>
    <w:rsid w:val="2F3264B9"/>
    <w:rsid w:val="2F3D21C4"/>
    <w:rsid w:val="2F3E0C1D"/>
    <w:rsid w:val="2F415713"/>
    <w:rsid w:val="2F4E3C9C"/>
    <w:rsid w:val="2F5646FC"/>
    <w:rsid w:val="2F5A20DE"/>
    <w:rsid w:val="2F5A3C00"/>
    <w:rsid w:val="2F60783E"/>
    <w:rsid w:val="2F653B85"/>
    <w:rsid w:val="2F6605DA"/>
    <w:rsid w:val="2F6726AF"/>
    <w:rsid w:val="2F6D09C7"/>
    <w:rsid w:val="2F735637"/>
    <w:rsid w:val="2F744F9E"/>
    <w:rsid w:val="2F790FAC"/>
    <w:rsid w:val="2F7E3ECC"/>
    <w:rsid w:val="2F813C69"/>
    <w:rsid w:val="2F8D708C"/>
    <w:rsid w:val="2F94011E"/>
    <w:rsid w:val="2F964438"/>
    <w:rsid w:val="2F99039E"/>
    <w:rsid w:val="2F9D6D33"/>
    <w:rsid w:val="2FA27385"/>
    <w:rsid w:val="2FAF043C"/>
    <w:rsid w:val="2FB12DD0"/>
    <w:rsid w:val="2FB36041"/>
    <w:rsid w:val="2FB42E3E"/>
    <w:rsid w:val="2FB54E1D"/>
    <w:rsid w:val="2FB745F4"/>
    <w:rsid w:val="2FCB7DF2"/>
    <w:rsid w:val="2FCE4544"/>
    <w:rsid w:val="2FCF54CA"/>
    <w:rsid w:val="2FD155A0"/>
    <w:rsid w:val="2FD524DA"/>
    <w:rsid w:val="2FD94272"/>
    <w:rsid w:val="2FE40CAC"/>
    <w:rsid w:val="2FEE6EA1"/>
    <w:rsid w:val="2FF21587"/>
    <w:rsid w:val="2FF37919"/>
    <w:rsid w:val="2FF71BCD"/>
    <w:rsid w:val="2FF876A4"/>
    <w:rsid w:val="2FFB226C"/>
    <w:rsid w:val="300D6BAF"/>
    <w:rsid w:val="30156C3B"/>
    <w:rsid w:val="30194BEC"/>
    <w:rsid w:val="301A71FA"/>
    <w:rsid w:val="301F4777"/>
    <w:rsid w:val="30232EB6"/>
    <w:rsid w:val="30233BEA"/>
    <w:rsid w:val="302A6576"/>
    <w:rsid w:val="302C2C20"/>
    <w:rsid w:val="302E168E"/>
    <w:rsid w:val="302E29F0"/>
    <w:rsid w:val="30385F08"/>
    <w:rsid w:val="304C544B"/>
    <w:rsid w:val="30582D98"/>
    <w:rsid w:val="305A4018"/>
    <w:rsid w:val="305D4182"/>
    <w:rsid w:val="305D5255"/>
    <w:rsid w:val="305F3EC8"/>
    <w:rsid w:val="306A3D00"/>
    <w:rsid w:val="306C4823"/>
    <w:rsid w:val="306E566C"/>
    <w:rsid w:val="306F2E6C"/>
    <w:rsid w:val="3075343E"/>
    <w:rsid w:val="30786881"/>
    <w:rsid w:val="307C3246"/>
    <w:rsid w:val="307D0225"/>
    <w:rsid w:val="307D22DF"/>
    <w:rsid w:val="3080296A"/>
    <w:rsid w:val="3087089B"/>
    <w:rsid w:val="308C2FDE"/>
    <w:rsid w:val="30914C22"/>
    <w:rsid w:val="309B73DA"/>
    <w:rsid w:val="309D4424"/>
    <w:rsid w:val="309D7CEC"/>
    <w:rsid w:val="309F1F4A"/>
    <w:rsid w:val="30A40725"/>
    <w:rsid w:val="30A52E49"/>
    <w:rsid w:val="30AA0198"/>
    <w:rsid w:val="30AF49C5"/>
    <w:rsid w:val="30B06588"/>
    <w:rsid w:val="30B30DDC"/>
    <w:rsid w:val="30B3579A"/>
    <w:rsid w:val="30B57959"/>
    <w:rsid w:val="30B846DE"/>
    <w:rsid w:val="30B93F88"/>
    <w:rsid w:val="30BF48A8"/>
    <w:rsid w:val="30C43086"/>
    <w:rsid w:val="30C85813"/>
    <w:rsid w:val="30D82AB0"/>
    <w:rsid w:val="30DA33E9"/>
    <w:rsid w:val="30DD13B4"/>
    <w:rsid w:val="30E22809"/>
    <w:rsid w:val="30EB26D3"/>
    <w:rsid w:val="30EB6585"/>
    <w:rsid w:val="30EE2A56"/>
    <w:rsid w:val="30F762B3"/>
    <w:rsid w:val="30FC58E4"/>
    <w:rsid w:val="30FE52B3"/>
    <w:rsid w:val="31053F4D"/>
    <w:rsid w:val="310D3050"/>
    <w:rsid w:val="31164531"/>
    <w:rsid w:val="312C4F6C"/>
    <w:rsid w:val="312E3A77"/>
    <w:rsid w:val="312F431D"/>
    <w:rsid w:val="313015F9"/>
    <w:rsid w:val="314513C3"/>
    <w:rsid w:val="3146080A"/>
    <w:rsid w:val="31462300"/>
    <w:rsid w:val="314B7A04"/>
    <w:rsid w:val="314C5816"/>
    <w:rsid w:val="314D2A6F"/>
    <w:rsid w:val="31526EF7"/>
    <w:rsid w:val="31563F8A"/>
    <w:rsid w:val="31583F1B"/>
    <w:rsid w:val="315B2D86"/>
    <w:rsid w:val="316F0472"/>
    <w:rsid w:val="316F5DC0"/>
    <w:rsid w:val="3171595D"/>
    <w:rsid w:val="3174263E"/>
    <w:rsid w:val="317872CF"/>
    <w:rsid w:val="317B683D"/>
    <w:rsid w:val="317F16B6"/>
    <w:rsid w:val="318262EE"/>
    <w:rsid w:val="31826F70"/>
    <w:rsid w:val="31854083"/>
    <w:rsid w:val="31882029"/>
    <w:rsid w:val="31892DAD"/>
    <w:rsid w:val="318E2C58"/>
    <w:rsid w:val="31912A86"/>
    <w:rsid w:val="3194554F"/>
    <w:rsid w:val="31961D01"/>
    <w:rsid w:val="319B2833"/>
    <w:rsid w:val="31A36954"/>
    <w:rsid w:val="31A9250B"/>
    <w:rsid w:val="31AA6062"/>
    <w:rsid w:val="31B645E3"/>
    <w:rsid w:val="31BB4B17"/>
    <w:rsid w:val="31C6181C"/>
    <w:rsid w:val="31C7514D"/>
    <w:rsid w:val="31D14FF8"/>
    <w:rsid w:val="31D202EF"/>
    <w:rsid w:val="31D45BA2"/>
    <w:rsid w:val="31D70592"/>
    <w:rsid w:val="31DF0813"/>
    <w:rsid w:val="31E160BF"/>
    <w:rsid w:val="31EF3E8B"/>
    <w:rsid w:val="31F41334"/>
    <w:rsid w:val="31F61299"/>
    <w:rsid w:val="31F73A16"/>
    <w:rsid w:val="31FA7682"/>
    <w:rsid w:val="31FB256B"/>
    <w:rsid w:val="31FC7F58"/>
    <w:rsid w:val="32015E0F"/>
    <w:rsid w:val="320B2512"/>
    <w:rsid w:val="320D7CE2"/>
    <w:rsid w:val="321F7BBE"/>
    <w:rsid w:val="322930D5"/>
    <w:rsid w:val="32300B52"/>
    <w:rsid w:val="323D1764"/>
    <w:rsid w:val="32493179"/>
    <w:rsid w:val="32513A34"/>
    <w:rsid w:val="3252609A"/>
    <w:rsid w:val="32540857"/>
    <w:rsid w:val="325561A0"/>
    <w:rsid w:val="325E4434"/>
    <w:rsid w:val="32623B51"/>
    <w:rsid w:val="32636530"/>
    <w:rsid w:val="326A1935"/>
    <w:rsid w:val="326B2AD4"/>
    <w:rsid w:val="326D6DC1"/>
    <w:rsid w:val="326E2F2B"/>
    <w:rsid w:val="327A0F0D"/>
    <w:rsid w:val="32821F1C"/>
    <w:rsid w:val="3282303D"/>
    <w:rsid w:val="3282321D"/>
    <w:rsid w:val="32852424"/>
    <w:rsid w:val="32885AE3"/>
    <w:rsid w:val="328C5BF1"/>
    <w:rsid w:val="32921E58"/>
    <w:rsid w:val="32923CDC"/>
    <w:rsid w:val="32A13E8F"/>
    <w:rsid w:val="32A1467D"/>
    <w:rsid w:val="32A35D65"/>
    <w:rsid w:val="32AB54D0"/>
    <w:rsid w:val="32AD3010"/>
    <w:rsid w:val="32AE0CCC"/>
    <w:rsid w:val="32B80D50"/>
    <w:rsid w:val="32B970FC"/>
    <w:rsid w:val="32BA0A47"/>
    <w:rsid w:val="32BC04F2"/>
    <w:rsid w:val="32BC3C53"/>
    <w:rsid w:val="32BD2DDE"/>
    <w:rsid w:val="32C7509D"/>
    <w:rsid w:val="32CE1FBB"/>
    <w:rsid w:val="32D02DB5"/>
    <w:rsid w:val="32D4243B"/>
    <w:rsid w:val="32E0742E"/>
    <w:rsid w:val="32E25FA9"/>
    <w:rsid w:val="32E2698E"/>
    <w:rsid w:val="32E33826"/>
    <w:rsid w:val="32EB1274"/>
    <w:rsid w:val="32EC77B2"/>
    <w:rsid w:val="32EF639E"/>
    <w:rsid w:val="32F513EE"/>
    <w:rsid w:val="32FB1C3C"/>
    <w:rsid w:val="330008CF"/>
    <w:rsid w:val="33006B1B"/>
    <w:rsid w:val="33020E3C"/>
    <w:rsid w:val="330213D3"/>
    <w:rsid w:val="33052171"/>
    <w:rsid w:val="33060FFE"/>
    <w:rsid w:val="33064B15"/>
    <w:rsid w:val="3308354C"/>
    <w:rsid w:val="330967E2"/>
    <w:rsid w:val="331414BC"/>
    <w:rsid w:val="331A48C6"/>
    <w:rsid w:val="331B6916"/>
    <w:rsid w:val="331C1C08"/>
    <w:rsid w:val="331F3088"/>
    <w:rsid w:val="33221B69"/>
    <w:rsid w:val="332A5F38"/>
    <w:rsid w:val="33321F2A"/>
    <w:rsid w:val="3337267C"/>
    <w:rsid w:val="33486AC2"/>
    <w:rsid w:val="334D0CB8"/>
    <w:rsid w:val="33516F32"/>
    <w:rsid w:val="335705F1"/>
    <w:rsid w:val="33577230"/>
    <w:rsid w:val="33582884"/>
    <w:rsid w:val="335A1ACF"/>
    <w:rsid w:val="33641846"/>
    <w:rsid w:val="337875AA"/>
    <w:rsid w:val="33794016"/>
    <w:rsid w:val="33941B2F"/>
    <w:rsid w:val="33967E11"/>
    <w:rsid w:val="339C35B9"/>
    <w:rsid w:val="339E0B67"/>
    <w:rsid w:val="33A00641"/>
    <w:rsid w:val="33A61FA5"/>
    <w:rsid w:val="33A757EA"/>
    <w:rsid w:val="33A90D94"/>
    <w:rsid w:val="33AD76E0"/>
    <w:rsid w:val="33AE0CAF"/>
    <w:rsid w:val="33AE14A6"/>
    <w:rsid w:val="33C4477D"/>
    <w:rsid w:val="33C6142A"/>
    <w:rsid w:val="33C80CF3"/>
    <w:rsid w:val="33CE0E63"/>
    <w:rsid w:val="33D65B20"/>
    <w:rsid w:val="33D66683"/>
    <w:rsid w:val="33DA3DC3"/>
    <w:rsid w:val="33DA6470"/>
    <w:rsid w:val="33E44C16"/>
    <w:rsid w:val="33E77857"/>
    <w:rsid w:val="33ED2236"/>
    <w:rsid w:val="33F30475"/>
    <w:rsid w:val="34090FD9"/>
    <w:rsid w:val="340B3215"/>
    <w:rsid w:val="340F5A95"/>
    <w:rsid w:val="34195B19"/>
    <w:rsid w:val="34310136"/>
    <w:rsid w:val="34326B2B"/>
    <w:rsid w:val="343D21E6"/>
    <w:rsid w:val="34430620"/>
    <w:rsid w:val="34590EB3"/>
    <w:rsid w:val="345965C7"/>
    <w:rsid w:val="345C2E19"/>
    <w:rsid w:val="34603855"/>
    <w:rsid w:val="34611AB1"/>
    <w:rsid w:val="346364A9"/>
    <w:rsid w:val="346809E9"/>
    <w:rsid w:val="34683DF0"/>
    <w:rsid w:val="347003F1"/>
    <w:rsid w:val="34720252"/>
    <w:rsid w:val="34786248"/>
    <w:rsid w:val="347E4DD2"/>
    <w:rsid w:val="348D7DEB"/>
    <w:rsid w:val="3493356D"/>
    <w:rsid w:val="349621DC"/>
    <w:rsid w:val="349867FF"/>
    <w:rsid w:val="349E166B"/>
    <w:rsid w:val="34A05FA8"/>
    <w:rsid w:val="34A215A9"/>
    <w:rsid w:val="34A654AD"/>
    <w:rsid w:val="34A73414"/>
    <w:rsid w:val="34A972A4"/>
    <w:rsid w:val="34AC0E00"/>
    <w:rsid w:val="34AF03D9"/>
    <w:rsid w:val="34B44BBF"/>
    <w:rsid w:val="34B53478"/>
    <w:rsid w:val="34C26C1E"/>
    <w:rsid w:val="34D02206"/>
    <w:rsid w:val="34D61B55"/>
    <w:rsid w:val="34DE003D"/>
    <w:rsid w:val="34E30C41"/>
    <w:rsid w:val="34E61D93"/>
    <w:rsid w:val="34F64C48"/>
    <w:rsid w:val="34F81AF9"/>
    <w:rsid w:val="34FD1E0F"/>
    <w:rsid w:val="35010004"/>
    <w:rsid w:val="35045608"/>
    <w:rsid w:val="350536DF"/>
    <w:rsid w:val="35101260"/>
    <w:rsid w:val="35137362"/>
    <w:rsid w:val="35253AF8"/>
    <w:rsid w:val="35365A49"/>
    <w:rsid w:val="35465DAC"/>
    <w:rsid w:val="354D004B"/>
    <w:rsid w:val="3556560A"/>
    <w:rsid w:val="3559455C"/>
    <w:rsid w:val="355C3F05"/>
    <w:rsid w:val="356C3D7C"/>
    <w:rsid w:val="356D0833"/>
    <w:rsid w:val="356E55BE"/>
    <w:rsid w:val="35701612"/>
    <w:rsid w:val="35787145"/>
    <w:rsid w:val="357C07EC"/>
    <w:rsid w:val="357D4C8B"/>
    <w:rsid w:val="35882661"/>
    <w:rsid w:val="358F73D3"/>
    <w:rsid w:val="359047E9"/>
    <w:rsid w:val="35960142"/>
    <w:rsid w:val="35967447"/>
    <w:rsid w:val="35970D19"/>
    <w:rsid w:val="359975A5"/>
    <w:rsid w:val="35A629EC"/>
    <w:rsid w:val="35A738F7"/>
    <w:rsid w:val="35AA3431"/>
    <w:rsid w:val="35B3663C"/>
    <w:rsid w:val="35B66505"/>
    <w:rsid w:val="35B81967"/>
    <w:rsid w:val="35B827B2"/>
    <w:rsid w:val="35B870C7"/>
    <w:rsid w:val="35B91F0B"/>
    <w:rsid w:val="35BF0EF7"/>
    <w:rsid w:val="35BF53C8"/>
    <w:rsid w:val="35BF5D6A"/>
    <w:rsid w:val="35C5710E"/>
    <w:rsid w:val="35CA5241"/>
    <w:rsid w:val="35CA7331"/>
    <w:rsid w:val="35CB026F"/>
    <w:rsid w:val="35D02905"/>
    <w:rsid w:val="35D03DF1"/>
    <w:rsid w:val="35D1478D"/>
    <w:rsid w:val="35D44F6B"/>
    <w:rsid w:val="35D511A7"/>
    <w:rsid w:val="35D67665"/>
    <w:rsid w:val="35DC07CB"/>
    <w:rsid w:val="35E418E3"/>
    <w:rsid w:val="35E5610B"/>
    <w:rsid w:val="35EC222C"/>
    <w:rsid w:val="35EC546E"/>
    <w:rsid w:val="35F52857"/>
    <w:rsid w:val="35F65696"/>
    <w:rsid w:val="35F86203"/>
    <w:rsid w:val="35FD072E"/>
    <w:rsid w:val="35FD0BE5"/>
    <w:rsid w:val="3602502C"/>
    <w:rsid w:val="360D6DCF"/>
    <w:rsid w:val="36162DD6"/>
    <w:rsid w:val="3619271C"/>
    <w:rsid w:val="361D3657"/>
    <w:rsid w:val="361D4136"/>
    <w:rsid w:val="361F6330"/>
    <w:rsid w:val="3620555F"/>
    <w:rsid w:val="36207E5C"/>
    <w:rsid w:val="3622487C"/>
    <w:rsid w:val="362819E9"/>
    <w:rsid w:val="362E2AA2"/>
    <w:rsid w:val="36316FC5"/>
    <w:rsid w:val="363F307D"/>
    <w:rsid w:val="364322B1"/>
    <w:rsid w:val="36487403"/>
    <w:rsid w:val="364C0992"/>
    <w:rsid w:val="364E71D0"/>
    <w:rsid w:val="365175ED"/>
    <w:rsid w:val="3658515A"/>
    <w:rsid w:val="365A0374"/>
    <w:rsid w:val="3669088B"/>
    <w:rsid w:val="366C3439"/>
    <w:rsid w:val="366E045A"/>
    <w:rsid w:val="36730EC1"/>
    <w:rsid w:val="36733044"/>
    <w:rsid w:val="3677050F"/>
    <w:rsid w:val="367715F7"/>
    <w:rsid w:val="367A5F78"/>
    <w:rsid w:val="367F41B1"/>
    <w:rsid w:val="368052D7"/>
    <w:rsid w:val="368916C1"/>
    <w:rsid w:val="368C2601"/>
    <w:rsid w:val="36932087"/>
    <w:rsid w:val="36962D4C"/>
    <w:rsid w:val="369B4ABA"/>
    <w:rsid w:val="36A404F0"/>
    <w:rsid w:val="36AA7CD0"/>
    <w:rsid w:val="36AD0C4F"/>
    <w:rsid w:val="36AD3039"/>
    <w:rsid w:val="36AF620C"/>
    <w:rsid w:val="36B21556"/>
    <w:rsid w:val="36B333B1"/>
    <w:rsid w:val="36B97DD6"/>
    <w:rsid w:val="36BA58AD"/>
    <w:rsid w:val="36C17DA3"/>
    <w:rsid w:val="36C856D5"/>
    <w:rsid w:val="36CC2728"/>
    <w:rsid w:val="36D336C9"/>
    <w:rsid w:val="36D40F50"/>
    <w:rsid w:val="36DE60AB"/>
    <w:rsid w:val="36DF25C4"/>
    <w:rsid w:val="36E94A0D"/>
    <w:rsid w:val="36F27843"/>
    <w:rsid w:val="36F90A3C"/>
    <w:rsid w:val="36FB390F"/>
    <w:rsid w:val="36FF680F"/>
    <w:rsid w:val="37001A84"/>
    <w:rsid w:val="37046F7C"/>
    <w:rsid w:val="370A2DDA"/>
    <w:rsid w:val="37135645"/>
    <w:rsid w:val="37160B0A"/>
    <w:rsid w:val="372662A1"/>
    <w:rsid w:val="37283915"/>
    <w:rsid w:val="372C1056"/>
    <w:rsid w:val="372D68C9"/>
    <w:rsid w:val="37326DF8"/>
    <w:rsid w:val="37384FC2"/>
    <w:rsid w:val="374444C3"/>
    <w:rsid w:val="37482F48"/>
    <w:rsid w:val="374F7AC7"/>
    <w:rsid w:val="37517A7C"/>
    <w:rsid w:val="375C1412"/>
    <w:rsid w:val="375C3B09"/>
    <w:rsid w:val="375E6A4D"/>
    <w:rsid w:val="375F6F0B"/>
    <w:rsid w:val="376413C5"/>
    <w:rsid w:val="37683C11"/>
    <w:rsid w:val="376A63EA"/>
    <w:rsid w:val="376D70E2"/>
    <w:rsid w:val="376E66A6"/>
    <w:rsid w:val="377A01AA"/>
    <w:rsid w:val="377A5030"/>
    <w:rsid w:val="377C763E"/>
    <w:rsid w:val="377E3BBB"/>
    <w:rsid w:val="37811381"/>
    <w:rsid w:val="3789406D"/>
    <w:rsid w:val="378D5A42"/>
    <w:rsid w:val="379C798C"/>
    <w:rsid w:val="37A37766"/>
    <w:rsid w:val="37A62195"/>
    <w:rsid w:val="37A75B88"/>
    <w:rsid w:val="37AA4DAD"/>
    <w:rsid w:val="37AB3653"/>
    <w:rsid w:val="37AB6C87"/>
    <w:rsid w:val="37AC2557"/>
    <w:rsid w:val="37AC76DA"/>
    <w:rsid w:val="37AD2833"/>
    <w:rsid w:val="37AF0287"/>
    <w:rsid w:val="37B04148"/>
    <w:rsid w:val="37B17743"/>
    <w:rsid w:val="37B54F11"/>
    <w:rsid w:val="37BC4B31"/>
    <w:rsid w:val="37BE5841"/>
    <w:rsid w:val="37C105EF"/>
    <w:rsid w:val="37C109B8"/>
    <w:rsid w:val="37C234B1"/>
    <w:rsid w:val="37CA6C36"/>
    <w:rsid w:val="37CE7BAE"/>
    <w:rsid w:val="37D23FA3"/>
    <w:rsid w:val="37E738DA"/>
    <w:rsid w:val="37E774FC"/>
    <w:rsid w:val="37F34F5C"/>
    <w:rsid w:val="38012C3A"/>
    <w:rsid w:val="38083AC8"/>
    <w:rsid w:val="380F5C02"/>
    <w:rsid w:val="38203251"/>
    <w:rsid w:val="38235C0F"/>
    <w:rsid w:val="382560A6"/>
    <w:rsid w:val="38282A32"/>
    <w:rsid w:val="3829284B"/>
    <w:rsid w:val="382D05C1"/>
    <w:rsid w:val="3831757B"/>
    <w:rsid w:val="3832728B"/>
    <w:rsid w:val="38330FC5"/>
    <w:rsid w:val="3838731F"/>
    <w:rsid w:val="383D061E"/>
    <w:rsid w:val="383F74A6"/>
    <w:rsid w:val="3843700E"/>
    <w:rsid w:val="38460F08"/>
    <w:rsid w:val="384C1AA7"/>
    <w:rsid w:val="38580307"/>
    <w:rsid w:val="385F4A34"/>
    <w:rsid w:val="386076F0"/>
    <w:rsid w:val="38612F97"/>
    <w:rsid w:val="38696425"/>
    <w:rsid w:val="386E7779"/>
    <w:rsid w:val="386F0812"/>
    <w:rsid w:val="38702A48"/>
    <w:rsid w:val="38724179"/>
    <w:rsid w:val="38726F94"/>
    <w:rsid w:val="38730D03"/>
    <w:rsid w:val="3873799B"/>
    <w:rsid w:val="38796DBA"/>
    <w:rsid w:val="387D6247"/>
    <w:rsid w:val="387E4B3B"/>
    <w:rsid w:val="38850094"/>
    <w:rsid w:val="389C5A25"/>
    <w:rsid w:val="38AE0291"/>
    <w:rsid w:val="38AE784B"/>
    <w:rsid w:val="38BA2F70"/>
    <w:rsid w:val="38BC4E9C"/>
    <w:rsid w:val="38C03ACB"/>
    <w:rsid w:val="38CD6924"/>
    <w:rsid w:val="38D21B6A"/>
    <w:rsid w:val="38D25700"/>
    <w:rsid w:val="38D32111"/>
    <w:rsid w:val="38D5159C"/>
    <w:rsid w:val="38D86F39"/>
    <w:rsid w:val="38E160CA"/>
    <w:rsid w:val="38E36AA4"/>
    <w:rsid w:val="38E912D3"/>
    <w:rsid w:val="38EC6CF0"/>
    <w:rsid w:val="38EF3DD2"/>
    <w:rsid w:val="38F1340E"/>
    <w:rsid w:val="38F142BF"/>
    <w:rsid w:val="38F444EE"/>
    <w:rsid w:val="38F55766"/>
    <w:rsid w:val="39002F9D"/>
    <w:rsid w:val="3904163C"/>
    <w:rsid w:val="390520FC"/>
    <w:rsid w:val="390631F1"/>
    <w:rsid w:val="39070FF7"/>
    <w:rsid w:val="390B0D6C"/>
    <w:rsid w:val="39112F35"/>
    <w:rsid w:val="39114D4E"/>
    <w:rsid w:val="39131B51"/>
    <w:rsid w:val="39177FC2"/>
    <w:rsid w:val="3919420E"/>
    <w:rsid w:val="392D522B"/>
    <w:rsid w:val="392D5F7B"/>
    <w:rsid w:val="392E5F84"/>
    <w:rsid w:val="393A15F3"/>
    <w:rsid w:val="39426778"/>
    <w:rsid w:val="394C3882"/>
    <w:rsid w:val="3952647D"/>
    <w:rsid w:val="395777E3"/>
    <w:rsid w:val="39587FAA"/>
    <w:rsid w:val="39603304"/>
    <w:rsid w:val="396E035F"/>
    <w:rsid w:val="397030BE"/>
    <w:rsid w:val="39706135"/>
    <w:rsid w:val="39724DEF"/>
    <w:rsid w:val="397B1984"/>
    <w:rsid w:val="397C1336"/>
    <w:rsid w:val="397D3A0E"/>
    <w:rsid w:val="397E2D4E"/>
    <w:rsid w:val="397F1EF9"/>
    <w:rsid w:val="398472A6"/>
    <w:rsid w:val="39870CB4"/>
    <w:rsid w:val="398A704A"/>
    <w:rsid w:val="398F1277"/>
    <w:rsid w:val="39935448"/>
    <w:rsid w:val="39940A61"/>
    <w:rsid w:val="399B0F77"/>
    <w:rsid w:val="399D073D"/>
    <w:rsid w:val="399E1EC9"/>
    <w:rsid w:val="39A3092F"/>
    <w:rsid w:val="39A44BA5"/>
    <w:rsid w:val="39AA4002"/>
    <w:rsid w:val="39B05A6E"/>
    <w:rsid w:val="39B4291B"/>
    <w:rsid w:val="39BB6523"/>
    <w:rsid w:val="39BC538F"/>
    <w:rsid w:val="39C4672B"/>
    <w:rsid w:val="39D2398D"/>
    <w:rsid w:val="39D254F2"/>
    <w:rsid w:val="39D30A25"/>
    <w:rsid w:val="39D86377"/>
    <w:rsid w:val="39DC5FC7"/>
    <w:rsid w:val="39E0211C"/>
    <w:rsid w:val="39E16EF8"/>
    <w:rsid w:val="39E658A3"/>
    <w:rsid w:val="39E713F0"/>
    <w:rsid w:val="39EC1949"/>
    <w:rsid w:val="39ED7EE9"/>
    <w:rsid w:val="39EE4E76"/>
    <w:rsid w:val="39EF39BF"/>
    <w:rsid w:val="39F21470"/>
    <w:rsid w:val="39F24F91"/>
    <w:rsid w:val="39F34D1A"/>
    <w:rsid w:val="39F35B38"/>
    <w:rsid w:val="39FC1695"/>
    <w:rsid w:val="3A012577"/>
    <w:rsid w:val="3A025CB2"/>
    <w:rsid w:val="3A044F19"/>
    <w:rsid w:val="3A0C0C41"/>
    <w:rsid w:val="3A101B4D"/>
    <w:rsid w:val="3A11675F"/>
    <w:rsid w:val="3A2B5BF5"/>
    <w:rsid w:val="3A34195E"/>
    <w:rsid w:val="3A490DF9"/>
    <w:rsid w:val="3A4E207C"/>
    <w:rsid w:val="3A510857"/>
    <w:rsid w:val="3A517FAA"/>
    <w:rsid w:val="3A5337CB"/>
    <w:rsid w:val="3A576A19"/>
    <w:rsid w:val="3A636572"/>
    <w:rsid w:val="3A646E71"/>
    <w:rsid w:val="3A651262"/>
    <w:rsid w:val="3A6942A5"/>
    <w:rsid w:val="3A6A5D10"/>
    <w:rsid w:val="3A723EFD"/>
    <w:rsid w:val="3A7675FC"/>
    <w:rsid w:val="3A7D5A6A"/>
    <w:rsid w:val="3A8E61E2"/>
    <w:rsid w:val="3A903BE6"/>
    <w:rsid w:val="3A911653"/>
    <w:rsid w:val="3A93188A"/>
    <w:rsid w:val="3A9C5EA6"/>
    <w:rsid w:val="3A9E7DD5"/>
    <w:rsid w:val="3AA960CB"/>
    <w:rsid w:val="3AAF7D1B"/>
    <w:rsid w:val="3AB0411C"/>
    <w:rsid w:val="3AB417D8"/>
    <w:rsid w:val="3AB53238"/>
    <w:rsid w:val="3ABE257A"/>
    <w:rsid w:val="3AC41217"/>
    <w:rsid w:val="3AC60AFD"/>
    <w:rsid w:val="3ACB7F2E"/>
    <w:rsid w:val="3ACF15DA"/>
    <w:rsid w:val="3AD76819"/>
    <w:rsid w:val="3ADB5E23"/>
    <w:rsid w:val="3ADE231D"/>
    <w:rsid w:val="3AE138CD"/>
    <w:rsid w:val="3AE639F8"/>
    <w:rsid w:val="3AE76C33"/>
    <w:rsid w:val="3AEC76D4"/>
    <w:rsid w:val="3AF36575"/>
    <w:rsid w:val="3AF4183C"/>
    <w:rsid w:val="3AFE1525"/>
    <w:rsid w:val="3B044257"/>
    <w:rsid w:val="3B111F54"/>
    <w:rsid w:val="3B146C63"/>
    <w:rsid w:val="3B147CEA"/>
    <w:rsid w:val="3B1851A1"/>
    <w:rsid w:val="3B295D27"/>
    <w:rsid w:val="3B2B3B0B"/>
    <w:rsid w:val="3B35474C"/>
    <w:rsid w:val="3B3B1682"/>
    <w:rsid w:val="3B3B253F"/>
    <w:rsid w:val="3B3C4D5F"/>
    <w:rsid w:val="3B4046DE"/>
    <w:rsid w:val="3B434A88"/>
    <w:rsid w:val="3B4715A0"/>
    <w:rsid w:val="3B4C6E03"/>
    <w:rsid w:val="3B511096"/>
    <w:rsid w:val="3B512426"/>
    <w:rsid w:val="3B547768"/>
    <w:rsid w:val="3B56604F"/>
    <w:rsid w:val="3B573DC3"/>
    <w:rsid w:val="3B5B348D"/>
    <w:rsid w:val="3B5D0861"/>
    <w:rsid w:val="3B624FC4"/>
    <w:rsid w:val="3B6805DA"/>
    <w:rsid w:val="3B7364F5"/>
    <w:rsid w:val="3B764EDF"/>
    <w:rsid w:val="3B795DBC"/>
    <w:rsid w:val="3B7B7A64"/>
    <w:rsid w:val="3B7C5411"/>
    <w:rsid w:val="3B7F7D14"/>
    <w:rsid w:val="3B8369F2"/>
    <w:rsid w:val="3B863209"/>
    <w:rsid w:val="3B890EF9"/>
    <w:rsid w:val="3B8D7102"/>
    <w:rsid w:val="3B932A0E"/>
    <w:rsid w:val="3B942080"/>
    <w:rsid w:val="3B9E6D4F"/>
    <w:rsid w:val="3BA5281E"/>
    <w:rsid w:val="3BAE41E8"/>
    <w:rsid w:val="3BB13B44"/>
    <w:rsid w:val="3BB31913"/>
    <w:rsid w:val="3BB62B1A"/>
    <w:rsid w:val="3BB74128"/>
    <w:rsid w:val="3BB766A4"/>
    <w:rsid w:val="3BB851E8"/>
    <w:rsid w:val="3BBB2AB4"/>
    <w:rsid w:val="3BBD1F8F"/>
    <w:rsid w:val="3BBE3A96"/>
    <w:rsid w:val="3BBF1A62"/>
    <w:rsid w:val="3BCB7861"/>
    <w:rsid w:val="3BD02F66"/>
    <w:rsid w:val="3BD51A84"/>
    <w:rsid w:val="3BD979DB"/>
    <w:rsid w:val="3BDD17A6"/>
    <w:rsid w:val="3BDE1CFA"/>
    <w:rsid w:val="3BED055F"/>
    <w:rsid w:val="3BF00D06"/>
    <w:rsid w:val="3C034228"/>
    <w:rsid w:val="3C093AD4"/>
    <w:rsid w:val="3C093F0E"/>
    <w:rsid w:val="3C0C5591"/>
    <w:rsid w:val="3C151FB8"/>
    <w:rsid w:val="3C185C40"/>
    <w:rsid w:val="3C196E35"/>
    <w:rsid w:val="3C1B7716"/>
    <w:rsid w:val="3C1D01CE"/>
    <w:rsid w:val="3C1E0AB5"/>
    <w:rsid w:val="3C1F438F"/>
    <w:rsid w:val="3C293BB2"/>
    <w:rsid w:val="3C2D1450"/>
    <w:rsid w:val="3C34314E"/>
    <w:rsid w:val="3C393C44"/>
    <w:rsid w:val="3C3E3FB0"/>
    <w:rsid w:val="3C454C21"/>
    <w:rsid w:val="3C4A209B"/>
    <w:rsid w:val="3C4C2D9A"/>
    <w:rsid w:val="3C52122C"/>
    <w:rsid w:val="3C545AE7"/>
    <w:rsid w:val="3C5714A8"/>
    <w:rsid w:val="3C5B57D9"/>
    <w:rsid w:val="3C627D0D"/>
    <w:rsid w:val="3C6319C0"/>
    <w:rsid w:val="3C6B5312"/>
    <w:rsid w:val="3C6D591A"/>
    <w:rsid w:val="3C7731E1"/>
    <w:rsid w:val="3C7A49A3"/>
    <w:rsid w:val="3C80047B"/>
    <w:rsid w:val="3C804E56"/>
    <w:rsid w:val="3C830D35"/>
    <w:rsid w:val="3C8B4CDC"/>
    <w:rsid w:val="3C8E24B0"/>
    <w:rsid w:val="3C9C4176"/>
    <w:rsid w:val="3C9C6B3D"/>
    <w:rsid w:val="3CAB23EC"/>
    <w:rsid w:val="3CAE6DDC"/>
    <w:rsid w:val="3CB0144F"/>
    <w:rsid w:val="3CB259EF"/>
    <w:rsid w:val="3CBA5A77"/>
    <w:rsid w:val="3CC2098F"/>
    <w:rsid w:val="3CD4786F"/>
    <w:rsid w:val="3CDD142A"/>
    <w:rsid w:val="3CE14915"/>
    <w:rsid w:val="3CE2520D"/>
    <w:rsid w:val="3CEB57C5"/>
    <w:rsid w:val="3CED0DB1"/>
    <w:rsid w:val="3CF44101"/>
    <w:rsid w:val="3CFD6CCD"/>
    <w:rsid w:val="3D0144CD"/>
    <w:rsid w:val="3D080DD8"/>
    <w:rsid w:val="3D0C1A70"/>
    <w:rsid w:val="3D0D09B7"/>
    <w:rsid w:val="3D123AC2"/>
    <w:rsid w:val="3D124218"/>
    <w:rsid w:val="3D137A0E"/>
    <w:rsid w:val="3D141D7D"/>
    <w:rsid w:val="3D2239CE"/>
    <w:rsid w:val="3D245C0E"/>
    <w:rsid w:val="3D3431C7"/>
    <w:rsid w:val="3D3518BD"/>
    <w:rsid w:val="3D3E165E"/>
    <w:rsid w:val="3D56069A"/>
    <w:rsid w:val="3D597636"/>
    <w:rsid w:val="3D5B36D6"/>
    <w:rsid w:val="3D616C6E"/>
    <w:rsid w:val="3D634D94"/>
    <w:rsid w:val="3D6A05DB"/>
    <w:rsid w:val="3D6B4146"/>
    <w:rsid w:val="3D6B616E"/>
    <w:rsid w:val="3D6C3AFB"/>
    <w:rsid w:val="3D6D6EDA"/>
    <w:rsid w:val="3D7374A9"/>
    <w:rsid w:val="3D764E5E"/>
    <w:rsid w:val="3D780266"/>
    <w:rsid w:val="3D7A43A1"/>
    <w:rsid w:val="3D7C59D3"/>
    <w:rsid w:val="3D7D617C"/>
    <w:rsid w:val="3D823F1D"/>
    <w:rsid w:val="3D836641"/>
    <w:rsid w:val="3D89645B"/>
    <w:rsid w:val="3D8C1FF1"/>
    <w:rsid w:val="3D8F36C2"/>
    <w:rsid w:val="3D9611C3"/>
    <w:rsid w:val="3D9B0413"/>
    <w:rsid w:val="3DA80695"/>
    <w:rsid w:val="3DAC2897"/>
    <w:rsid w:val="3DAF3DBD"/>
    <w:rsid w:val="3DB07AD6"/>
    <w:rsid w:val="3DB90AD0"/>
    <w:rsid w:val="3DB92751"/>
    <w:rsid w:val="3DBA369F"/>
    <w:rsid w:val="3DBC708A"/>
    <w:rsid w:val="3DC11486"/>
    <w:rsid w:val="3DC15EDC"/>
    <w:rsid w:val="3DC54D20"/>
    <w:rsid w:val="3DC6096F"/>
    <w:rsid w:val="3DC839B6"/>
    <w:rsid w:val="3DC977DD"/>
    <w:rsid w:val="3DCA75E3"/>
    <w:rsid w:val="3DD7323A"/>
    <w:rsid w:val="3DDE5D21"/>
    <w:rsid w:val="3DE40385"/>
    <w:rsid w:val="3DE86E63"/>
    <w:rsid w:val="3DED099F"/>
    <w:rsid w:val="3DF60646"/>
    <w:rsid w:val="3DF8164C"/>
    <w:rsid w:val="3DF96213"/>
    <w:rsid w:val="3E035A30"/>
    <w:rsid w:val="3E035EB3"/>
    <w:rsid w:val="3E067AAC"/>
    <w:rsid w:val="3E067FB0"/>
    <w:rsid w:val="3E0E1223"/>
    <w:rsid w:val="3E1155A7"/>
    <w:rsid w:val="3E1474CD"/>
    <w:rsid w:val="3E1925E2"/>
    <w:rsid w:val="3E1E5447"/>
    <w:rsid w:val="3E1F38ED"/>
    <w:rsid w:val="3E225EC6"/>
    <w:rsid w:val="3E263682"/>
    <w:rsid w:val="3E2A55CC"/>
    <w:rsid w:val="3E2B4046"/>
    <w:rsid w:val="3E2F1625"/>
    <w:rsid w:val="3E3F4F11"/>
    <w:rsid w:val="3E3F50C7"/>
    <w:rsid w:val="3E453806"/>
    <w:rsid w:val="3E4554EF"/>
    <w:rsid w:val="3E46055C"/>
    <w:rsid w:val="3E476BDD"/>
    <w:rsid w:val="3E664D80"/>
    <w:rsid w:val="3E716948"/>
    <w:rsid w:val="3E7C6902"/>
    <w:rsid w:val="3E864132"/>
    <w:rsid w:val="3E897663"/>
    <w:rsid w:val="3E8A32CA"/>
    <w:rsid w:val="3E8C09FB"/>
    <w:rsid w:val="3E911412"/>
    <w:rsid w:val="3E936234"/>
    <w:rsid w:val="3EA6322B"/>
    <w:rsid w:val="3EAB1730"/>
    <w:rsid w:val="3EAC3E96"/>
    <w:rsid w:val="3EBD4B6E"/>
    <w:rsid w:val="3EBF14DF"/>
    <w:rsid w:val="3EBF788C"/>
    <w:rsid w:val="3EC0716F"/>
    <w:rsid w:val="3EC62B83"/>
    <w:rsid w:val="3EC97820"/>
    <w:rsid w:val="3ECE40DF"/>
    <w:rsid w:val="3ED11B02"/>
    <w:rsid w:val="3ED17C57"/>
    <w:rsid w:val="3EDA516F"/>
    <w:rsid w:val="3EDB6FD1"/>
    <w:rsid w:val="3EDC07A2"/>
    <w:rsid w:val="3EDD4C46"/>
    <w:rsid w:val="3EE000D6"/>
    <w:rsid w:val="3EE15873"/>
    <w:rsid w:val="3EE410C7"/>
    <w:rsid w:val="3EE94A65"/>
    <w:rsid w:val="3EF03B49"/>
    <w:rsid w:val="3EF2100C"/>
    <w:rsid w:val="3EFF1447"/>
    <w:rsid w:val="3F0074C6"/>
    <w:rsid w:val="3F085552"/>
    <w:rsid w:val="3F0A6002"/>
    <w:rsid w:val="3F0B1FA0"/>
    <w:rsid w:val="3F0F0BE2"/>
    <w:rsid w:val="3F16558C"/>
    <w:rsid w:val="3F1A219E"/>
    <w:rsid w:val="3F202257"/>
    <w:rsid w:val="3F232272"/>
    <w:rsid w:val="3F245547"/>
    <w:rsid w:val="3F30137D"/>
    <w:rsid w:val="3F33782F"/>
    <w:rsid w:val="3F3721D6"/>
    <w:rsid w:val="3F382246"/>
    <w:rsid w:val="3F4040ED"/>
    <w:rsid w:val="3F41123F"/>
    <w:rsid w:val="3F41741C"/>
    <w:rsid w:val="3F425535"/>
    <w:rsid w:val="3F457A3B"/>
    <w:rsid w:val="3F46660A"/>
    <w:rsid w:val="3F5573F7"/>
    <w:rsid w:val="3F5D741D"/>
    <w:rsid w:val="3F5F5F31"/>
    <w:rsid w:val="3F614925"/>
    <w:rsid w:val="3F62146F"/>
    <w:rsid w:val="3F69041E"/>
    <w:rsid w:val="3F690816"/>
    <w:rsid w:val="3F6C748B"/>
    <w:rsid w:val="3F753A70"/>
    <w:rsid w:val="3F7B68C8"/>
    <w:rsid w:val="3F7C7C3D"/>
    <w:rsid w:val="3F863707"/>
    <w:rsid w:val="3F8711E9"/>
    <w:rsid w:val="3F90243D"/>
    <w:rsid w:val="3F9B7F5F"/>
    <w:rsid w:val="3FA3517E"/>
    <w:rsid w:val="3FA360EE"/>
    <w:rsid w:val="3FB17C4A"/>
    <w:rsid w:val="3FBC248D"/>
    <w:rsid w:val="3FBD7DE9"/>
    <w:rsid w:val="3FC41E29"/>
    <w:rsid w:val="3FC50106"/>
    <w:rsid w:val="3FD15D67"/>
    <w:rsid w:val="3FE058DF"/>
    <w:rsid w:val="3FE07FD0"/>
    <w:rsid w:val="3FE85493"/>
    <w:rsid w:val="3FF00EFA"/>
    <w:rsid w:val="3FF70AEA"/>
    <w:rsid w:val="3FF82B54"/>
    <w:rsid w:val="3FFA3F56"/>
    <w:rsid w:val="40014482"/>
    <w:rsid w:val="400C67D4"/>
    <w:rsid w:val="40182C42"/>
    <w:rsid w:val="4019654B"/>
    <w:rsid w:val="401D2635"/>
    <w:rsid w:val="401D26D0"/>
    <w:rsid w:val="401F52CA"/>
    <w:rsid w:val="40201230"/>
    <w:rsid w:val="40214BC3"/>
    <w:rsid w:val="4029425A"/>
    <w:rsid w:val="40322DDA"/>
    <w:rsid w:val="40334985"/>
    <w:rsid w:val="404306A0"/>
    <w:rsid w:val="404C05AB"/>
    <w:rsid w:val="404C694A"/>
    <w:rsid w:val="40502B4F"/>
    <w:rsid w:val="40513858"/>
    <w:rsid w:val="40571812"/>
    <w:rsid w:val="4057709B"/>
    <w:rsid w:val="40654C25"/>
    <w:rsid w:val="40691BF4"/>
    <w:rsid w:val="406A0849"/>
    <w:rsid w:val="406C3BED"/>
    <w:rsid w:val="4070745F"/>
    <w:rsid w:val="407937DE"/>
    <w:rsid w:val="40806E0D"/>
    <w:rsid w:val="40834617"/>
    <w:rsid w:val="40840826"/>
    <w:rsid w:val="40936812"/>
    <w:rsid w:val="40953557"/>
    <w:rsid w:val="409636A1"/>
    <w:rsid w:val="4096394B"/>
    <w:rsid w:val="40990433"/>
    <w:rsid w:val="40993106"/>
    <w:rsid w:val="409F08B4"/>
    <w:rsid w:val="409F4C5E"/>
    <w:rsid w:val="40A31410"/>
    <w:rsid w:val="40A75D35"/>
    <w:rsid w:val="40AA5C49"/>
    <w:rsid w:val="40AF42CD"/>
    <w:rsid w:val="40B52CFD"/>
    <w:rsid w:val="40B713ED"/>
    <w:rsid w:val="40BA6CA2"/>
    <w:rsid w:val="40C64C3D"/>
    <w:rsid w:val="40C67AC6"/>
    <w:rsid w:val="40D001EF"/>
    <w:rsid w:val="40DC0BD5"/>
    <w:rsid w:val="40E26A05"/>
    <w:rsid w:val="40F410DD"/>
    <w:rsid w:val="40FA2FB3"/>
    <w:rsid w:val="410844D5"/>
    <w:rsid w:val="410B3FAB"/>
    <w:rsid w:val="410C4A83"/>
    <w:rsid w:val="41100A21"/>
    <w:rsid w:val="41123DCA"/>
    <w:rsid w:val="41132AFA"/>
    <w:rsid w:val="411471C1"/>
    <w:rsid w:val="41167B71"/>
    <w:rsid w:val="41207D95"/>
    <w:rsid w:val="41222452"/>
    <w:rsid w:val="41226CDF"/>
    <w:rsid w:val="41242B52"/>
    <w:rsid w:val="4124537B"/>
    <w:rsid w:val="412C3FEF"/>
    <w:rsid w:val="412E129C"/>
    <w:rsid w:val="413136EA"/>
    <w:rsid w:val="413328F8"/>
    <w:rsid w:val="41413415"/>
    <w:rsid w:val="4146090E"/>
    <w:rsid w:val="414C2097"/>
    <w:rsid w:val="414F674C"/>
    <w:rsid w:val="4150577D"/>
    <w:rsid w:val="41587BB5"/>
    <w:rsid w:val="41590D15"/>
    <w:rsid w:val="415F43CC"/>
    <w:rsid w:val="4164282C"/>
    <w:rsid w:val="41662425"/>
    <w:rsid w:val="41674D51"/>
    <w:rsid w:val="41695651"/>
    <w:rsid w:val="417665DA"/>
    <w:rsid w:val="41774AD7"/>
    <w:rsid w:val="417F3DB6"/>
    <w:rsid w:val="4182401B"/>
    <w:rsid w:val="41877221"/>
    <w:rsid w:val="418908A3"/>
    <w:rsid w:val="418C5BF9"/>
    <w:rsid w:val="418F18FF"/>
    <w:rsid w:val="41911B76"/>
    <w:rsid w:val="419E43A2"/>
    <w:rsid w:val="41A95A8C"/>
    <w:rsid w:val="41B05A0E"/>
    <w:rsid w:val="41B3648A"/>
    <w:rsid w:val="41B656E7"/>
    <w:rsid w:val="41B80F90"/>
    <w:rsid w:val="41BE655B"/>
    <w:rsid w:val="41BF5AAA"/>
    <w:rsid w:val="41C03D30"/>
    <w:rsid w:val="41C61F2E"/>
    <w:rsid w:val="41D00C05"/>
    <w:rsid w:val="41D113CB"/>
    <w:rsid w:val="41D21F5A"/>
    <w:rsid w:val="41D4586D"/>
    <w:rsid w:val="41D631AB"/>
    <w:rsid w:val="41D72D3D"/>
    <w:rsid w:val="41D954D1"/>
    <w:rsid w:val="41DC7CD6"/>
    <w:rsid w:val="41EA219F"/>
    <w:rsid w:val="4205043B"/>
    <w:rsid w:val="422F5BA2"/>
    <w:rsid w:val="42310E97"/>
    <w:rsid w:val="423579D1"/>
    <w:rsid w:val="423735B9"/>
    <w:rsid w:val="4239740F"/>
    <w:rsid w:val="423B2ED0"/>
    <w:rsid w:val="423F2381"/>
    <w:rsid w:val="42461ABC"/>
    <w:rsid w:val="424829E7"/>
    <w:rsid w:val="424A7A70"/>
    <w:rsid w:val="425C5F30"/>
    <w:rsid w:val="425D0DE1"/>
    <w:rsid w:val="425D1D53"/>
    <w:rsid w:val="425D1F2B"/>
    <w:rsid w:val="4264396F"/>
    <w:rsid w:val="4267421C"/>
    <w:rsid w:val="42680A97"/>
    <w:rsid w:val="42684286"/>
    <w:rsid w:val="42697F9C"/>
    <w:rsid w:val="426A47F6"/>
    <w:rsid w:val="426F3555"/>
    <w:rsid w:val="42741F34"/>
    <w:rsid w:val="427E6C8A"/>
    <w:rsid w:val="427F72CD"/>
    <w:rsid w:val="42935755"/>
    <w:rsid w:val="42A256DF"/>
    <w:rsid w:val="42C07CB2"/>
    <w:rsid w:val="42C1183C"/>
    <w:rsid w:val="42C87C38"/>
    <w:rsid w:val="42CA150B"/>
    <w:rsid w:val="42CB4DCE"/>
    <w:rsid w:val="42DC480B"/>
    <w:rsid w:val="42DD722D"/>
    <w:rsid w:val="42E6297A"/>
    <w:rsid w:val="42E85A23"/>
    <w:rsid w:val="42EB72E0"/>
    <w:rsid w:val="42EE1261"/>
    <w:rsid w:val="42EF5F67"/>
    <w:rsid w:val="42F60F84"/>
    <w:rsid w:val="42F84FD8"/>
    <w:rsid w:val="42FC0964"/>
    <w:rsid w:val="42FF5007"/>
    <w:rsid w:val="42FF6B3F"/>
    <w:rsid w:val="43016E5C"/>
    <w:rsid w:val="43060ABD"/>
    <w:rsid w:val="43062284"/>
    <w:rsid w:val="430E757E"/>
    <w:rsid w:val="431371D7"/>
    <w:rsid w:val="43247428"/>
    <w:rsid w:val="432970CF"/>
    <w:rsid w:val="432F07AC"/>
    <w:rsid w:val="43305DB0"/>
    <w:rsid w:val="433B43A5"/>
    <w:rsid w:val="433D5CE2"/>
    <w:rsid w:val="43455222"/>
    <w:rsid w:val="4349043D"/>
    <w:rsid w:val="434B4948"/>
    <w:rsid w:val="43516F0B"/>
    <w:rsid w:val="43535800"/>
    <w:rsid w:val="435560ED"/>
    <w:rsid w:val="43570FC9"/>
    <w:rsid w:val="43604BA6"/>
    <w:rsid w:val="43643E06"/>
    <w:rsid w:val="436B59DB"/>
    <w:rsid w:val="437C7B67"/>
    <w:rsid w:val="438261BA"/>
    <w:rsid w:val="4388328B"/>
    <w:rsid w:val="438C0697"/>
    <w:rsid w:val="43922711"/>
    <w:rsid w:val="439472DD"/>
    <w:rsid w:val="43990BA6"/>
    <w:rsid w:val="439E5A90"/>
    <w:rsid w:val="43A31E05"/>
    <w:rsid w:val="43A37523"/>
    <w:rsid w:val="43A6535C"/>
    <w:rsid w:val="43A76F15"/>
    <w:rsid w:val="43AE666A"/>
    <w:rsid w:val="43B27583"/>
    <w:rsid w:val="43B5724A"/>
    <w:rsid w:val="43B6536A"/>
    <w:rsid w:val="43BC3BB1"/>
    <w:rsid w:val="43BD6D0B"/>
    <w:rsid w:val="43C279EA"/>
    <w:rsid w:val="43C74E1E"/>
    <w:rsid w:val="43C83818"/>
    <w:rsid w:val="43D25F58"/>
    <w:rsid w:val="43D27774"/>
    <w:rsid w:val="43DC4B4B"/>
    <w:rsid w:val="43E13781"/>
    <w:rsid w:val="43E17924"/>
    <w:rsid w:val="43E26E6D"/>
    <w:rsid w:val="43E31D64"/>
    <w:rsid w:val="43E42A3D"/>
    <w:rsid w:val="43EB67D6"/>
    <w:rsid w:val="43EC5A7C"/>
    <w:rsid w:val="43ED2A32"/>
    <w:rsid w:val="43F151EE"/>
    <w:rsid w:val="4401219E"/>
    <w:rsid w:val="441219B7"/>
    <w:rsid w:val="44131F74"/>
    <w:rsid w:val="441361E7"/>
    <w:rsid w:val="44273E6B"/>
    <w:rsid w:val="442830DD"/>
    <w:rsid w:val="442C0C08"/>
    <w:rsid w:val="44326235"/>
    <w:rsid w:val="44424E6D"/>
    <w:rsid w:val="4444337D"/>
    <w:rsid w:val="44464A8C"/>
    <w:rsid w:val="44491DC3"/>
    <w:rsid w:val="444C6E7E"/>
    <w:rsid w:val="44500031"/>
    <w:rsid w:val="4451475A"/>
    <w:rsid w:val="44553869"/>
    <w:rsid w:val="445B64F4"/>
    <w:rsid w:val="446001BC"/>
    <w:rsid w:val="44622ECA"/>
    <w:rsid w:val="44697E3B"/>
    <w:rsid w:val="446A0C59"/>
    <w:rsid w:val="4472157D"/>
    <w:rsid w:val="447704E4"/>
    <w:rsid w:val="448C0CC0"/>
    <w:rsid w:val="448C0DBA"/>
    <w:rsid w:val="448D1A98"/>
    <w:rsid w:val="449012B9"/>
    <w:rsid w:val="44933F9D"/>
    <w:rsid w:val="4498152D"/>
    <w:rsid w:val="449D0C3A"/>
    <w:rsid w:val="44A10302"/>
    <w:rsid w:val="44A56E34"/>
    <w:rsid w:val="44A9573E"/>
    <w:rsid w:val="44AD421E"/>
    <w:rsid w:val="44AF18C7"/>
    <w:rsid w:val="44B31C93"/>
    <w:rsid w:val="44B83C70"/>
    <w:rsid w:val="44BB4E50"/>
    <w:rsid w:val="44C325F1"/>
    <w:rsid w:val="44CB6929"/>
    <w:rsid w:val="44D05525"/>
    <w:rsid w:val="44D32866"/>
    <w:rsid w:val="44D352B8"/>
    <w:rsid w:val="44D91E82"/>
    <w:rsid w:val="44DD4A02"/>
    <w:rsid w:val="44E15F67"/>
    <w:rsid w:val="44F03002"/>
    <w:rsid w:val="44F72182"/>
    <w:rsid w:val="44FF20C1"/>
    <w:rsid w:val="450F1B09"/>
    <w:rsid w:val="45145780"/>
    <w:rsid w:val="45162B21"/>
    <w:rsid w:val="451D6635"/>
    <w:rsid w:val="45220FCF"/>
    <w:rsid w:val="452B42D3"/>
    <w:rsid w:val="452C0880"/>
    <w:rsid w:val="452D5759"/>
    <w:rsid w:val="453A3B0A"/>
    <w:rsid w:val="45462836"/>
    <w:rsid w:val="45477B2B"/>
    <w:rsid w:val="4549123C"/>
    <w:rsid w:val="454F5F75"/>
    <w:rsid w:val="455F693A"/>
    <w:rsid w:val="4565114C"/>
    <w:rsid w:val="45701715"/>
    <w:rsid w:val="45742145"/>
    <w:rsid w:val="457463C3"/>
    <w:rsid w:val="45767828"/>
    <w:rsid w:val="457C0BAA"/>
    <w:rsid w:val="457E2F4B"/>
    <w:rsid w:val="45820366"/>
    <w:rsid w:val="458B4699"/>
    <w:rsid w:val="45901269"/>
    <w:rsid w:val="45941D38"/>
    <w:rsid w:val="45971A49"/>
    <w:rsid w:val="459C77EC"/>
    <w:rsid w:val="45A05C54"/>
    <w:rsid w:val="45A22485"/>
    <w:rsid w:val="45A5208C"/>
    <w:rsid w:val="45AE305A"/>
    <w:rsid w:val="45B147A1"/>
    <w:rsid w:val="45B21B65"/>
    <w:rsid w:val="45B379C8"/>
    <w:rsid w:val="45B5760C"/>
    <w:rsid w:val="45C31866"/>
    <w:rsid w:val="45C607BD"/>
    <w:rsid w:val="45C82C11"/>
    <w:rsid w:val="45C85AE6"/>
    <w:rsid w:val="45D24358"/>
    <w:rsid w:val="45D40495"/>
    <w:rsid w:val="45E45253"/>
    <w:rsid w:val="45E87714"/>
    <w:rsid w:val="45ED44C9"/>
    <w:rsid w:val="45F13E21"/>
    <w:rsid w:val="45F6534C"/>
    <w:rsid w:val="45FF0F5C"/>
    <w:rsid w:val="46000349"/>
    <w:rsid w:val="4600579B"/>
    <w:rsid w:val="46045F63"/>
    <w:rsid w:val="460460EC"/>
    <w:rsid w:val="460D31CA"/>
    <w:rsid w:val="460F42D2"/>
    <w:rsid w:val="46150956"/>
    <w:rsid w:val="46181635"/>
    <w:rsid w:val="46196CEF"/>
    <w:rsid w:val="46207632"/>
    <w:rsid w:val="46265917"/>
    <w:rsid w:val="462957A2"/>
    <w:rsid w:val="462B3C03"/>
    <w:rsid w:val="46301634"/>
    <w:rsid w:val="46380179"/>
    <w:rsid w:val="463877C0"/>
    <w:rsid w:val="463956C7"/>
    <w:rsid w:val="463D6DB0"/>
    <w:rsid w:val="46432F0A"/>
    <w:rsid w:val="46433006"/>
    <w:rsid w:val="464C51E3"/>
    <w:rsid w:val="46500CA1"/>
    <w:rsid w:val="46534B1D"/>
    <w:rsid w:val="4656450C"/>
    <w:rsid w:val="46592079"/>
    <w:rsid w:val="465B003A"/>
    <w:rsid w:val="465C3E39"/>
    <w:rsid w:val="46657670"/>
    <w:rsid w:val="46683B36"/>
    <w:rsid w:val="466C123C"/>
    <w:rsid w:val="466C3343"/>
    <w:rsid w:val="46712B45"/>
    <w:rsid w:val="46733B71"/>
    <w:rsid w:val="46735914"/>
    <w:rsid w:val="4678036E"/>
    <w:rsid w:val="46801F54"/>
    <w:rsid w:val="468034B7"/>
    <w:rsid w:val="468259FE"/>
    <w:rsid w:val="46A97EBA"/>
    <w:rsid w:val="46B562D6"/>
    <w:rsid w:val="46C948D8"/>
    <w:rsid w:val="46CA30C3"/>
    <w:rsid w:val="46CD37F7"/>
    <w:rsid w:val="46CF6A78"/>
    <w:rsid w:val="46D45AC0"/>
    <w:rsid w:val="46EB3F44"/>
    <w:rsid w:val="46EC2E81"/>
    <w:rsid w:val="46F230A8"/>
    <w:rsid w:val="46F24586"/>
    <w:rsid w:val="46F86BA5"/>
    <w:rsid w:val="46F90721"/>
    <w:rsid w:val="46FE3797"/>
    <w:rsid w:val="47087129"/>
    <w:rsid w:val="470C4C68"/>
    <w:rsid w:val="470C7EA3"/>
    <w:rsid w:val="47141758"/>
    <w:rsid w:val="4715188D"/>
    <w:rsid w:val="47165EB4"/>
    <w:rsid w:val="471C6BB0"/>
    <w:rsid w:val="47241D01"/>
    <w:rsid w:val="47271314"/>
    <w:rsid w:val="47274F4A"/>
    <w:rsid w:val="472B128B"/>
    <w:rsid w:val="472B5B46"/>
    <w:rsid w:val="472F2090"/>
    <w:rsid w:val="47340C4C"/>
    <w:rsid w:val="47367BCD"/>
    <w:rsid w:val="47371D6F"/>
    <w:rsid w:val="47496B46"/>
    <w:rsid w:val="47510B05"/>
    <w:rsid w:val="4751519B"/>
    <w:rsid w:val="4754260C"/>
    <w:rsid w:val="47570331"/>
    <w:rsid w:val="475F1FDB"/>
    <w:rsid w:val="476A7AF7"/>
    <w:rsid w:val="47750C46"/>
    <w:rsid w:val="47773946"/>
    <w:rsid w:val="477A1063"/>
    <w:rsid w:val="477D1AC3"/>
    <w:rsid w:val="47866B0A"/>
    <w:rsid w:val="4789363F"/>
    <w:rsid w:val="479D42B4"/>
    <w:rsid w:val="47A05A4C"/>
    <w:rsid w:val="47A24DDB"/>
    <w:rsid w:val="47A95DA7"/>
    <w:rsid w:val="47A96612"/>
    <w:rsid w:val="47AE43BC"/>
    <w:rsid w:val="47AE4ED3"/>
    <w:rsid w:val="47B47D50"/>
    <w:rsid w:val="47BE2EEC"/>
    <w:rsid w:val="47BF2045"/>
    <w:rsid w:val="47C602C6"/>
    <w:rsid w:val="47CB7871"/>
    <w:rsid w:val="47CE0B4B"/>
    <w:rsid w:val="47CF00E6"/>
    <w:rsid w:val="47D27460"/>
    <w:rsid w:val="47D409F8"/>
    <w:rsid w:val="47D762A1"/>
    <w:rsid w:val="47DA0270"/>
    <w:rsid w:val="47DB05C6"/>
    <w:rsid w:val="47DB70B8"/>
    <w:rsid w:val="47E43E72"/>
    <w:rsid w:val="47E71FC5"/>
    <w:rsid w:val="47EB2844"/>
    <w:rsid w:val="47EB2C83"/>
    <w:rsid w:val="47ED5D5B"/>
    <w:rsid w:val="47F32E53"/>
    <w:rsid w:val="47FC07F9"/>
    <w:rsid w:val="47FD43FE"/>
    <w:rsid w:val="48074D75"/>
    <w:rsid w:val="48081D3F"/>
    <w:rsid w:val="480A1FD3"/>
    <w:rsid w:val="480B6841"/>
    <w:rsid w:val="480D0A06"/>
    <w:rsid w:val="480F0DA2"/>
    <w:rsid w:val="481E3087"/>
    <w:rsid w:val="48264FFD"/>
    <w:rsid w:val="482851C6"/>
    <w:rsid w:val="483212A4"/>
    <w:rsid w:val="48375A6B"/>
    <w:rsid w:val="484261D8"/>
    <w:rsid w:val="484E74A5"/>
    <w:rsid w:val="48530D40"/>
    <w:rsid w:val="48557F13"/>
    <w:rsid w:val="485F2F5B"/>
    <w:rsid w:val="485F6CD4"/>
    <w:rsid w:val="486A56FD"/>
    <w:rsid w:val="48753C48"/>
    <w:rsid w:val="48787276"/>
    <w:rsid w:val="487A69FD"/>
    <w:rsid w:val="487B0B4E"/>
    <w:rsid w:val="48804934"/>
    <w:rsid w:val="48807659"/>
    <w:rsid w:val="488427D7"/>
    <w:rsid w:val="48847AB0"/>
    <w:rsid w:val="488A592D"/>
    <w:rsid w:val="4891361A"/>
    <w:rsid w:val="48924488"/>
    <w:rsid w:val="48942F59"/>
    <w:rsid w:val="48A0479A"/>
    <w:rsid w:val="48AE43AC"/>
    <w:rsid w:val="48B16EDB"/>
    <w:rsid w:val="48B720C3"/>
    <w:rsid w:val="48B908AC"/>
    <w:rsid w:val="48B96774"/>
    <w:rsid w:val="48BA0C69"/>
    <w:rsid w:val="48BE4ADC"/>
    <w:rsid w:val="48C17662"/>
    <w:rsid w:val="48C625E2"/>
    <w:rsid w:val="48CB6001"/>
    <w:rsid w:val="48D76449"/>
    <w:rsid w:val="48D83A06"/>
    <w:rsid w:val="48DC71AB"/>
    <w:rsid w:val="48E86E9D"/>
    <w:rsid w:val="48F00D48"/>
    <w:rsid w:val="48F227C2"/>
    <w:rsid w:val="48F25D2B"/>
    <w:rsid w:val="48F70398"/>
    <w:rsid w:val="48F92C46"/>
    <w:rsid w:val="4902562D"/>
    <w:rsid w:val="49094D5F"/>
    <w:rsid w:val="490A7F7E"/>
    <w:rsid w:val="490B59AD"/>
    <w:rsid w:val="490D1520"/>
    <w:rsid w:val="490F6F78"/>
    <w:rsid w:val="49134D44"/>
    <w:rsid w:val="491824A0"/>
    <w:rsid w:val="49184BFD"/>
    <w:rsid w:val="49230E7D"/>
    <w:rsid w:val="492E5B48"/>
    <w:rsid w:val="492F7A8C"/>
    <w:rsid w:val="49317468"/>
    <w:rsid w:val="493A6EF8"/>
    <w:rsid w:val="493D398E"/>
    <w:rsid w:val="493E2ABA"/>
    <w:rsid w:val="49445510"/>
    <w:rsid w:val="49454733"/>
    <w:rsid w:val="495171C1"/>
    <w:rsid w:val="49562FE0"/>
    <w:rsid w:val="495C3054"/>
    <w:rsid w:val="49684B7C"/>
    <w:rsid w:val="49727B27"/>
    <w:rsid w:val="4983721D"/>
    <w:rsid w:val="49842859"/>
    <w:rsid w:val="49853468"/>
    <w:rsid w:val="498B15EC"/>
    <w:rsid w:val="49911C57"/>
    <w:rsid w:val="49915D78"/>
    <w:rsid w:val="49974E6F"/>
    <w:rsid w:val="499858F2"/>
    <w:rsid w:val="499B7F65"/>
    <w:rsid w:val="499E730E"/>
    <w:rsid w:val="49A42226"/>
    <w:rsid w:val="49A8026C"/>
    <w:rsid w:val="49AC62F2"/>
    <w:rsid w:val="49B962A3"/>
    <w:rsid w:val="49C15263"/>
    <w:rsid w:val="49CC4ACC"/>
    <w:rsid w:val="49CD301D"/>
    <w:rsid w:val="49D74C10"/>
    <w:rsid w:val="49DA26D0"/>
    <w:rsid w:val="49E00674"/>
    <w:rsid w:val="49E43D8E"/>
    <w:rsid w:val="49E865F3"/>
    <w:rsid w:val="49F17C95"/>
    <w:rsid w:val="49FB22DF"/>
    <w:rsid w:val="4A0406A2"/>
    <w:rsid w:val="4A0712A3"/>
    <w:rsid w:val="4A08746B"/>
    <w:rsid w:val="4A097F60"/>
    <w:rsid w:val="4A0D75A9"/>
    <w:rsid w:val="4A1B46B8"/>
    <w:rsid w:val="4A221C51"/>
    <w:rsid w:val="4A2E3765"/>
    <w:rsid w:val="4A2F4EC1"/>
    <w:rsid w:val="4A31691A"/>
    <w:rsid w:val="4A354E9D"/>
    <w:rsid w:val="4A373801"/>
    <w:rsid w:val="4A382525"/>
    <w:rsid w:val="4A4068FD"/>
    <w:rsid w:val="4A4B5EFD"/>
    <w:rsid w:val="4A566C20"/>
    <w:rsid w:val="4A5670DF"/>
    <w:rsid w:val="4A5701D9"/>
    <w:rsid w:val="4A5D5D91"/>
    <w:rsid w:val="4A65214D"/>
    <w:rsid w:val="4A66779A"/>
    <w:rsid w:val="4A697639"/>
    <w:rsid w:val="4A6A1D74"/>
    <w:rsid w:val="4A6C1E6D"/>
    <w:rsid w:val="4A727EC9"/>
    <w:rsid w:val="4A74048D"/>
    <w:rsid w:val="4A773637"/>
    <w:rsid w:val="4A7B6314"/>
    <w:rsid w:val="4A807875"/>
    <w:rsid w:val="4A81379C"/>
    <w:rsid w:val="4A871C89"/>
    <w:rsid w:val="4A8920D8"/>
    <w:rsid w:val="4A9235FE"/>
    <w:rsid w:val="4A96571C"/>
    <w:rsid w:val="4A971614"/>
    <w:rsid w:val="4A9B3D89"/>
    <w:rsid w:val="4A9C731E"/>
    <w:rsid w:val="4AA54771"/>
    <w:rsid w:val="4AA7369A"/>
    <w:rsid w:val="4AA96CAC"/>
    <w:rsid w:val="4AAF183B"/>
    <w:rsid w:val="4AB51D12"/>
    <w:rsid w:val="4AB67FAD"/>
    <w:rsid w:val="4AC141D6"/>
    <w:rsid w:val="4AC230A6"/>
    <w:rsid w:val="4AC564BE"/>
    <w:rsid w:val="4AD2289E"/>
    <w:rsid w:val="4AD4067B"/>
    <w:rsid w:val="4AD4197C"/>
    <w:rsid w:val="4AD7272C"/>
    <w:rsid w:val="4AD772C5"/>
    <w:rsid w:val="4AFB780E"/>
    <w:rsid w:val="4AFC5094"/>
    <w:rsid w:val="4AFC6B94"/>
    <w:rsid w:val="4B02297F"/>
    <w:rsid w:val="4B0C519D"/>
    <w:rsid w:val="4B0D1239"/>
    <w:rsid w:val="4B0F0814"/>
    <w:rsid w:val="4B181D98"/>
    <w:rsid w:val="4B1945E0"/>
    <w:rsid w:val="4B194E11"/>
    <w:rsid w:val="4B2043D7"/>
    <w:rsid w:val="4B241804"/>
    <w:rsid w:val="4B37290A"/>
    <w:rsid w:val="4B38575A"/>
    <w:rsid w:val="4B3F5993"/>
    <w:rsid w:val="4B403E05"/>
    <w:rsid w:val="4B405866"/>
    <w:rsid w:val="4B45766D"/>
    <w:rsid w:val="4B4834AF"/>
    <w:rsid w:val="4B553906"/>
    <w:rsid w:val="4B557C4D"/>
    <w:rsid w:val="4B605EFB"/>
    <w:rsid w:val="4B6128CC"/>
    <w:rsid w:val="4B6463FF"/>
    <w:rsid w:val="4B652A48"/>
    <w:rsid w:val="4B6576B1"/>
    <w:rsid w:val="4B6A7E9B"/>
    <w:rsid w:val="4B6B4042"/>
    <w:rsid w:val="4B6C3D3B"/>
    <w:rsid w:val="4B6C5854"/>
    <w:rsid w:val="4B732898"/>
    <w:rsid w:val="4B770E31"/>
    <w:rsid w:val="4B882AA4"/>
    <w:rsid w:val="4B8B03FF"/>
    <w:rsid w:val="4B8E6410"/>
    <w:rsid w:val="4B9A473F"/>
    <w:rsid w:val="4B9C0E4C"/>
    <w:rsid w:val="4B9D2BA2"/>
    <w:rsid w:val="4B9F1B60"/>
    <w:rsid w:val="4BA032C9"/>
    <w:rsid w:val="4BA651B5"/>
    <w:rsid w:val="4BA923B9"/>
    <w:rsid w:val="4BAE3EE1"/>
    <w:rsid w:val="4BB63C10"/>
    <w:rsid w:val="4BBA5187"/>
    <w:rsid w:val="4BC06DC3"/>
    <w:rsid w:val="4BC23C07"/>
    <w:rsid w:val="4BCB6108"/>
    <w:rsid w:val="4BCC36D3"/>
    <w:rsid w:val="4BD743C3"/>
    <w:rsid w:val="4BDD2584"/>
    <w:rsid w:val="4BE074EC"/>
    <w:rsid w:val="4BE84CD2"/>
    <w:rsid w:val="4BF21948"/>
    <w:rsid w:val="4BF3717B"/>
    <w:rsid w:val="4BF82722"/>
    <w:rsid w:val="4BFB0CB1"/>
    <w:rsid w:val="4BFF1088"/>
    <w:rsid w:val="4C024114"/>
    <w:rsid w:val="4C035AA1"/>
    <w:rsid w:val="4C0558F4"/>
    <w:rsid w:val="4C077F36"/>
    <w:rsid w:val="4C0958B6"/>
    <w:rsid w:val="4C0C719C"/>
    <w:rsid w:val="4C0D538E"/>
    <w:rsid w:val="4C23236D"/>
    <w:rsid w:val="4C245DD4"/>
    <w:rsid w:val="4C260D6D"/>
    <w:rsid w:val="4C2D2789"/>
    <w:rsid w:val="4C3341A5"/>
    <w:rsid w:val="4C347EAD"/>
    <w:rsid w:val="4C3844A0"/>
    <w:rsid w:val="4C3A5058"/>
    <w:rsid w:val="4C3D1E8C"/>
    <w:rsid w:val="4C3D7BE6"/>
    <w:rsid w:val="4C402D69"/>
    <w:rsid w:val="4C4100B2"/>
    <w:rsid w:val="4C410574"/>
    <w:rsid w:val="4C492FC8"/>
    <w:rsid w:val="4C60548A"/>
    <w:rsid w:val="4C680B95"/>
    <w:rsid w:val="4C68553A"/>
    <w:rsid w:val="4C6E763E"/>
    <w:rsid w:val="4C7255D9"/>
    <w:rsid w:val="4C7B52FA"/>
    <w:rsid w:val="4C8A7032"/>
    <w:rsid w:val="4C8C2416"/>
    <w:rsid w:val="4C9072D0"/>
    <w:rsid w:val="4C916804"/>
    <w:rsid w:val="4CA8039A"/>
    <w:rsid w:val="4CB258E4"/>
    <w:rsid w:val="4CC06797"/>
    <w:rsid w:val="4CC13625"/>
    <w:rsid w:val="4CC21939"/>
    <w:rsid w:val="4CC25D67"/>
    <w:rsid w:val="4CD144D5"/>
    <w:rsid w:val="4CDA6B57"/>
    <w:rsid w:val="4CDE4225"/>
    <w:rsid w:val="4CE45478"/>
    <w:rsid w:val="4CE47C5F"/>
    <w:rsid w:val="4CE541B0"/>
    <w:rsid w:val="4CE644D7"/>
    <w:rsid w:val="4CE75232"/>
    <w:rsid w:val="4CE85C7F"/>
    <w:rsid w:val="4CEB1C68"/>
    <w:rsid w:val="4CF33997"/>
    <w:rsid w:val="4CF55151"/>
    <w:rsid w:val="4CF5756D"/>
    <w:rsid w:val="4CFF7225"/>
    <w:rsid w:val="4D1147D8"/>
    <w:rsid w:val="4D1C4BA2"/>
    <w:rsid w:val="4D206435"/>
    <w:rsid w:val="4D223F77"/>
    <w:rsid w:val="4D257F6C"/>
    <w:rsid w:val="4D2C20CF"/>
    <w:rsid w:val="4D327273"/>
    <w:rsid w:val="4D327D2F"/>
    <w:rsid w:val="4D33356C"/>
    <w:rsid w:val="4D3524F7"/>
    <w:rsid w:val="4D39545C"/>
    <w:rsid w:val="4D3C1E6B"/>
    <w:rsid w:val="4D43797F"/>
    <w:rsid w:val="4D4B38BE"/>
    <w:rsid w:val="4D4E2EDB"/>
    <w:rsid w:val="4D507ED0"/>
    <w:rsid w:val="4D561138"/>
    <w:rsid w:val="4D6166FF"/>
    <w:rsid w:val="4D6B7C12"/>
    <w:rsid w:val="4D71672E"/>
    <w:rsid w:val="4D724C91"/>
    <w:rsid w:val="4D793CB2"/>
    <w:rsid w:val="4D796A6B"/>
    <w:rsid w:val="4D7D4CA6"/>
    <w:rsid w:val="4D8352B9"/>
    <w:rsid w:val="4D8D3773"/>
    <w:rsid w:val="4D9622A8"/>
    <w:rsid w:val="4D985E5B"/>
    <w:rsid w:val="4D9B76EE"/>
    <w:rsid w:val="4DA67B71"/>
    <w:rsid w:val="4DA87F32"/>
    <w:rsid w:val="4DB4631A"/>
    <w:rsid w:val="4DC25837"/>
    <w:rsid w:val="4DC51D30"/>
    <w:rsid w:val="4DCE7378"/>
    <w:rsid w:val="4DD01DA4"/>
    <w:rsid w:val="4DD02869"/>
    <w:rsid w:val="4DD57D2E"/>
    <w:rsid w:val="4DD57E15"/>
    <w:rsid w:val="4DDA5635"/>
    <w:rsid w:val="4DDB5238"/>
    <w:rsid w:val="4DF34BD8"/>
    <w:rsid w:val="4E016CAA"/>
    <w:rsid w:val="4E0469BE"/>
    <w:rsid w:val="4E1B012E"/>
    <w:rsid w:val="4E1B0CCA"/>
    <w:rsid w:val="4E1B2D00"/>
    <w:rsid w:val="4E1D2F8C"/>
    <w:rsid w:val="4E1E0171"/>
    <w:rsid w:val="4E201370"/>
    <w:rsid w:val="4E237B40"/>
    <w:rsid w:val="4E255124"/>
    <w:rsid w:val="4E2C74B7"/>
    <w:rsid w:val="4E2D1E2A"/>
    <w:rsid w:val="4E322895"/>
    <w:rsid w:val="4E326C41"/>
    <w:rsid w:val="4E3C3A5C"/>
    <w:rsid w:val="4E420AF8"/>
    <w:rsid w:val="4E4627FC"/>
    <w:rsid w:val="4E4953E5"/>
    <w:rsid w:val="4E4B6A71"/>
    <w:rsid w:val="4E5A43E4"/>
    <w:rsid w:val="4E5F59FA"/>
    <w:rsid w:val="4E646F4C"/>
    <w:rsid w:val="4E684632"/>
    <w:rsid w:val="4E714F41"/>
    <w:rsid w:val="4E776E4B"/>
    <w:rsid w:val="4E834599"/>
    <w:rsid w:val="4E860E15"/>
    <w:rsid w:val="4E874586"/>
    <w:rsid w:val="4E916F24"/>
    <w:rsid w:val="4E9C79B7"/>
    <w:rsid w:val="4EA97D76"/>
    <w:rsid w:val="4EAD5F7D"/>
    <w:rsid w:val="4EAE43CC"/>
    <w:rsid w:val="4EAE527C"/>
    <w:rsid w:val="4EAF1FDC"/>
    <w:rsid w:val="4EBA3100"/>
    <w:rsid w:val="4EC064D8"/>
    <w:rsid w:val="4EC065C3"/>
    <w:rsid w:val="4EC2189F"/>
    <w:rsid w:val="4EC2390B"/>
    <w:rsid w:val="4EC66E04"/>
    <w:rsid w:val="4ECE4E53"/>
    <w:rsid w:val="4ED03301"/>
    <w:rsid w:val="4ED11883"/>
    <w:rsid w:val="4EDC36D0"/>
    <w:rsid w:val="4EEF6AAA"/>
    <w:rsid w:val="4EF5571E"/>
    <w:rsid w:val="4EF94BBD"/>
    <w:rsid w:val="4EF97BF6"/>
    <w:rsid w:val="4EFA3BA1"/>
    <w:rsid w:val="4EFE6591"/>
    <w:rsid w:val="4F083099"/>
    <w:rsid w:val="4F093F7D"/>
    <w:rsid w:val="4F0B0D3D"/>
    <w:rsid w:val="4F0C101E"/>
    <w:rsid w:val="4F1025BE"/>
    <w:rsid w:val="4F107433"/>
    <w:rsid w:val="4F1377FB"/>
    <w:rsid w:val="4F1A5ABD"/>
    <w:rsid w:val="4F1E6060"/>
    <w:rsid w:val="4F1F320D"/>
    <w:rsid w:val="4F1F66C1"/>
    <w:rsid w:val="4F1F6B45"/>
    <w:rsid w:val="4F424996"/>
    <w:rsid w:val="4F4608FB"/>
    <w:rsid w:val="4F482ED2"/>
    <w:rsid w:val="4F4B44A1"/>
    <w:rsid w:val="4F4F3F50"/>
    <w:rsid w:val="4F4F5F29"/>
    <w:rsid w:val="4F530AB5"/>
    <w:rsid w:val="4F5E1FFB"/>
    <w:rsid w:val="4F6457CE"/>
    <w:rsid w:val="4F654AC2"/>
    <w:rsid w:val="4F683BF5"/>
    <w:rsid w:val="4F6D045D"/>
    <w:rsid w:val="4F8D1FBF"/>
    <w:rsid w:val="4F9437DD"/>
    <w:rsid w:val="4F9437FF"/>
    <w:rsid w:val="4F9C5BE9"/>
    <w:rsid w:val="4F9C6B87"/>
    <w:rsid w:val="4F9D5182"/>
    <w:rsid w:val="4FA3219E"/>
    <w:rsid w:val="4FA669F9"/>
    <w:rsid w:val="4FA9191E"/>
    <w:rsid w:val="4FAD2B3F"/>
    <w:rsid w:val="4FB03E10"/>
    <w:rsid w:val="4FB524F2"/>
    <w:rsid w:val="4FC13513"/>
    <w:rsid w:val="4FC17431"/>
    <w:rsid w:val="4FC91E7B"/>
    <w:rsid w:val="4FCD1C3F"/>
    <w:rsid w:val="4FDE3D16"/>
    <w:rsid w:val="4FE76BDC"/>
    <w:rsid w:val="50055637"/>
    <w:rsid w:val="500A3BE6"/>
    <w:rsid w:val="500D4ACD"/>
    <w:rsid w:val="500F6826"/>
    <w:rsid w:val="501E563F"/>
    <w:rsid w:val="50203F2D"/>
    <w:rsid w:val="5028259A"/>
    <w:rsid w:val="502923CE"/>
    <w:rsid w:val="503911C1"/>
    <w:rsid w:val="50440947"/>
    <w:rsid w:val="50456157"/>
    <w:rsid w:val="504F6BE2"/>
    <w:rsid w:val="50507F73"/>
    <w:rsid w:val="505677D6"/>
    <w:rsid w:val="50590215"/>
    <w:rsid w:val="505A2EE6"/>
    <w:rsid w:val="50634971"/>
    <w:rsid w:val="506727FB"/>
    <w:rsid w:val="50716FE3"/>
    <w:rsid w:val="507C1264"/>
    <w:rsid w:val="50887FC3"/>
    <w:rsid w:val="508B74DC"/>
    <w:rsid w:val="508E18DC"/>
    <w:rsid w:val="50953566"/>
    <w:rsid w:val="509E13A5"/>
    <w:rsid w:val="50A21FBD"/>
    <w:rsid w:val="50A50BD1"/>
    <w:rsid w:val="50A81651"/>
    <w:rsid w:val="50AB4AA3"/>
    <w:rsid w:val="50B94284"/>
    <w:rsid w:val="50C15A76"/>
    <w:rsid w:val="50C323AF"/>
    <w:rsid w:val="50C6767F"/>
    <w:rsid w:val="50D16E3B"/>
    <w:rsid w:val="50DD46A0"/>
    <w:rsid w:val="50DD69B2"/>
    <w:rsid w:val="50E947DF"/>
    <w:rsid w:val="50E97869"/>
    <w:rsid w:val="50EC093D"/>
    <w:rsid w:val="50F46B93"/>
    <w:rsid w:val="50FE2EDE"/>
    <w:rsid w:val="51044A01"/>
    <w:rsid w:val="510D075B"/>
    <w:rsid w:val="51136C36"/>
    <w:rsid w:val="51164672"/>
    <w:rsid w:val="51181299"/>
    <w:rsid w:val="511E73B1"/>
    <w:rsid w:val="51260CB2"/>
    <w:rsid w:val="512617A7"/>
    <w:rsid w:val="512C1B49"/>
    <w:rsid w:val="513153D9"/>
    <w:rsid w:val="513F3DDB"/>
    <w:rsid w:val="514251C4"/>
    <w:rsid w:val="51436CA1"/>
    <w:rsid w:val="51442300"/>
    <w:rsid w:val="51452DB7"/>
    <w:rsid w:val="51460399"/>
    <w:rsid w:val="51483548"/>
    <w:rsid w:val="514A720B"/>
    <w:rsid w:val="514F3D4F"/>
    <w:rsid w:val="515038BC"/>
    <w:rsid w:val="515237AE"/>
    <w:rsid w:val="51542485"/>
    <w:rsid w:val="51570D99"/>
    <w:rsid w:val="515957A9"/>
    <w:rsid w:val="515A3E2D"/>
    <w:rsid w:val="516D7803"/>
    <w:rsid w:val="5175307D"/>
    <w:rsid w:val="517931D1"/>
    <w:rsid w:val="51794D14"/>
    <w:rsid w:val="518020DE"/>
    <w:rsid w:val="51821832"/>
    <w:rsid w:val="51877594"/>
    <w:rsid w:val="51956313"/>
    <w:rsid w:val="519647E9"/>
    <w:rsid w:val="51982FB1"/>
    <w:rsid w:val="51994D78"/>
    <w:rsid w:val="519C4AA3"/>
    <w:rsid w:val="519F3148"/>
    <w:rsid w:val="519F33F3"/>
    <w:rsid w:val="51A654BD"/>
    <w:rsid w:val="51A84704"/>
    <w:rsid w:val="51AC51B7"/>
    <w:rsid w:val="51B71640"/>
    <w:rsid w:val="51BA724F"/>
    <w:rsid w:val="51CB44B5"/>
    <w:rsid w:val="51CC215F"/>
    <w:rsid w:val="51D02135"/>
    <w:rsid w:val="51D6608D"/>
    <w:rsid w:val="51DE4DD5"/>
    <w:rsid w:val="51E56105"/>
    <w:rsid w:val="51E65B73"/>
    <w:rsid w:val="51E950AB"/>
    <w:rsid w:val="51F660AE"/>
    <w:rsid w:val="51FA4B43"/>
    <w:rsid w:val="51FE4D28"/>
    <w:rsid w:val="5201085F"/>
    <w:rsid w:val="52013C89"/>
    <w:rsid w:val="520B47A9"/>
    <w:rsid w:val="52105B32"/>
    <w:rsid w:val="52111E0F"/>
    <w:rsid w:val="521A5D29"/>
    <w:rsid w:val="522269A0"/>
    <w:rsid w:val="52285BA8"/>
    <w:rsid w:val="522C457E"/>
    <w:rsid w:val="52342F1F"/>
    <w:rsid w:val="5239058D"/>
    <w:rsid w:val="524879F6"/>
    <w:rsid w:val="524B5E7F"/>
    <w:rsid w:val="52513908"/>
    <w:rsid w:val="52540773"/>
    <w:rsid w:val="52541C18"/>
    <w:rsid w:val="52544409"/>
    <w:rsid w:val="525B205E"/>
    <w:rsid w:val="525E2E17"/>
    <w:rsid w:val="526052E3"/>
    <w:rsid w:val="526B3B64"/>
    <w:rsid w:val="5274425B"/>
    <w:rsid w:val="527606B8"/>
    <w:rsid w:val="5277308C"/>
    <w:rsid w:val="527A3226"/>
    <w:rsid w:val="52803089"/>
    <w:rsid w:val="52820B6A"/>
    <w:rsid w:val="52827192"/>
    <w:rsid w:val="528E2592"/>
    <w:rsid w:val="529A0F8B"/>
    <w:rsid w:val="529B206D"/>
    <w:rsid w:val="529E4FEA"/>
    <w:rsid w:val="52AD43D8"/>
    <w:rsid w:val="52AF7AEA"/>
    <w:rsid w:val="52B04027"/>
    <w:rsid w:val="52B71F03"/>
    <w:rsid w:val="52B72AD7"/>
    <w:rsid w:val="52B75139"/>
    <w:rsid w:val="52C22A54"/>
    <w:rsid w:val="52C3663D"/>
    <w:rsid w:val="52C51352"/>
    <w:rsid w:val="52C5705B"/>
    <w:rsid w:val="52CA6282"/>
    <w:rsid w:val="52CB0873"/>
    <w:rsid w:val="52D65176"/>
    <w:rsid w:val="52D70679"/>
    <w:rsid w:val="52D82877"/>
    <w:rsid w:val="52E259BC"/>
    <w:rsid w:val="52EB7859"/>
    <w:rsid w:val="52F21F46"/>
    <w:rsid w:val="52F52E8D"/>
    <w:rsid w:val="52F84888"/>
    <w:rsid w:val="52FB761F"/>
    <w:rsid w:val="530353FA"/>
    <w:rsid w:val="530931B6"/>
    <w:rsid w:val="53096C5E"/>
    <w:rsid w:val="530D0056"/>
    <w:rsid w:val="530F2FA0"/>
    <w:rsid w:val="531041C2"/>
    <w:rsid w:val="53130983"/>
    <w:rsid w:val="531925AA"/>
    <w:rsid w:val="531C1D11"/>
    <w:rsid w:val="532162E8"/>
    <w:rsid w:val="53276BD9"/>
    <w:rsid w:val="532E6FC5"/>
    <w:rsid w:val="533319F5"/>
    <w:rsid w:val="533C0A0E"/>
    <w:rsid w:val="533D11F1"/>
    <w:rsid w:val="534505EE"/>
    <w:rsid w:val="534538E4"/>
    <w:rsid w:val="53567D5E"/>
    <w:rsid w:val="53600AFD"/>
    <w:rsid w:val="53616D15"/>
    <w:rsid w:val="53630A69"/>
    <w:rsid w:val="536C05D9"/>
    <w:rsid w:val="537174E4"/>
    <w:rsid w:val="53745E16"/>
    <w:rsid w:val="537A47C4"/>
    <w:rsid w:val="537B5E59"/>
    <w:rsid w:val="53810D25"/>
    <w:rsid w:val="53817FB0"/>
    <w:rsid w:val="53822C48"/>
    <w:rsid w:val="53837CC2"/>
    <w:rsid w:val="538602F9"/>
    <w:rsid w:val="53882CAF"/>
    <w:rsid w:val="5396096A"/>
    <w:rsid w:val="539707AD"/>
    <w:rsid w:val="53993E85"/>
    <w:rsid w:val="539A6F6B"/>
    <w:rsid w:val="539C043D"/>
    <w:rsid w:val="53B144D3"/>
    <w:rsid w:val="53B4303C"/>
    <w:rsid w:val="53B62265"/>
    <w:rsid w:val="53B71E64"/>
    <w:rsid w:val="53BF4F1D"/>
    <w:rsid w:val="53C00754"/>
    <w:rsid w:val="53C1291B"/>
    <w:rsid w:val="53CD2EDB"/>
    <w:rsid w:val="53DE79A3"/>
    <w:rsid w:val="53DF3097"/>
    <w:rsid w:val="53E75B7D"/>
    <w:rsid w:val="53F44185"/>
    <w:rsid w:val="53FA2039"/>
    <w:rsid w:val="53FB1EB9"/>
    <w:rsid w:val="53FF15F9"/>
    <w:rsid w:val="5404733B"/>
    <w:rsid w:val="540E157A"/>
    <w:rsid w:val="54124AF8"/>
    <w:rsid w:val="541738B9"/>
    <w:rsid w:val="541F7028"/>
    <w:rsid w:val="54282E9A"/>
    <w:rsid w:val="542C2EF7"/>
    <w:rsid w:val="542E2676"/>
    <w:rsid w:val="54322A0F"/>
    <w:rsid w:val="543752A1"/>
    <w:rsid w:val="5438178F"/>
    <w:rsid w:val="543B2B3C"/>
    <w:rsid w:val="54406E36"/>
    <w:rsid w:val="54540E82"/>
    <w:rsid w:val="54557C7F"/>
    <w:rsid w:val="54574715"/>
    <w:rsid w:val="545E2AA9"/>
    <w:rsid w:val="546239BC"/>
    <w:rsid w:val="546822C8"/>
    <w:rsid w:val="546A6B4A"/>
    <w:rsid w:val="546C1A20"/>
    <w:rsid w:val="546E6461"/>
    <w:rsid w:val="54754DE9"/>
    <w:rsid w:val="547B54A6"/>
    <w:rsid w:val="547C5923"/>
    <w:rsid w:val="547C73EF"/>
    <w:rsid w:val="548A6EC3"/>
    <w:rsid w:val="548C5FDA"/>
    <w:rsid w:val="5491544C"/>
    <w:rsid w:val="54934A8C"/>
    <w:rsid w:val="54955970"/>
    <w:rsid w:val="54A10408"/>
    <w:rsid w:val="54A332C5"/>
    <w:rsid w:val="54BE4251"/>
    <w:rsid w:val="54C15455"/>
    <w:rsid w:val="54C61E87"/>
    <w:rsid w:val="54C84405"/>
    <w:rsid w:val="54CB1F5A"/>
    <w:rsid w:val="54D062C6"/>
    <w:rsid w:val="54D167F6"/>
    <w:rsid w:val="54D6471D"/>
    <w:rsid w:val="54E21BE9"/>
    <w:rsid w:val="54EE57E5"/>
    <w:rsid w:val="54EF521E"/>
    <w:rsid w:val="54FF72A4"/>
    <w:rsid w:val="55016A04"/>
    <w:rsid w:val="55072E91"/>
    <w:rsid w:val="552013D3"/>
    <w:rsid w:val="55284931"/>
    <w:rsid w:val="552D1DBB"/>
    <w:rsid w:val="552F490E"/>
    <w:rsid w:val="55356043"/>
    <w:rsid w:val="55377119"/>
    <w:rsid w:val="553D3379"/>
    <w:rsid w:val="55401506"/>
    <w:rsid w:val="5544181A"/>
    <w:rsid w:val="554572A3"/>
    <w:rsid w:val="5547735F"/>
    <w:rsid w:val="554B2E0F"/>
    <w:rsid w:val="554C42BB"/>
    <w:rsid w:val="55583C90"/>
    <w:rsid w:val="555F4910"/>
    <w:rsid w:val="556006AF"/>
    <w:rsid w:val="5561512D"/>
    <w:rsid w:val="556373C8"/>
    <w:rsid w:val="556C4DC7"/>
    <w:rsid w:val="55776675"/>
    <w:rsid w:val="557A7B0E"/>
    <w:rsid w:val="55811B13"/>
    <w:rsid w:val="55934CD9"/>
    <w:rsid w:val="55994A42"/>
    <w:rsid w:val="55AC334B"/>
    <w:rsid w:val="55B152CE"/>
    <w:rsid w:val="55B55BE8"/>
    <w:rsid w:val="55B734E7"/>
    <w:rsid w:val="55C027CE"/>
    <w:rsid w:val="55C05E96"/>
    <w:rsid w:val="55CD4AF1"/>
    <w:rsid w:val="55CE3CF1"/>
    <w:rsid w:val="55D03992"/>
    <w:rsid w:val="55D17819"/>
    <w:rsid w:val="55D4609C"/>
    <w:rsid w:val="55D9235E"/>
    <w:rsid w:val="55D960F7"/>
    <w:rsid w:val="55DB5321"/>
    <w:rsid w:val="55E404E5"/>
    <w:rsid w:val="55E461AB"/>
    <w:rsid w:val="55EF5840"/>
    <w:rsid w:val="55FF51D6"/>
    <w:rsid w:val="560005B1"/>
    <w:rsid w:val="56062F8F"/>
    <w:rsid w:val="560D040D"/>
    <w:rsid w:val="560E29D8"/>
    <w:rsid w:val="56107E3A"/>
    <w:rsid w:val="56165256"/>
    <w:rsid w:val="56175463"/>
    <w:rsid w:val="561B5B34"/>
    <w:rsid w:val="561C3219"/>
    <w:rsid w:val="561C6EBD"/>
    <w:rsid w:val="561F68B2"/>
    <w:rsid w:val="56217732"/>
    <w:rsid w:val="56244B1C"/>
    <w:rsid w:val="5628651C"/>
    <w:rsid w:val="562C77F4"/>
    <w:rsid w:val="56370161"/>
    <w:rsid w:val="56392DCE"/>
    <w:rsid w:val="563A7ABE"/>
    <w:rsid w:val="563B3300"/>
    <w:rsid w:val="563D26B3"/>
    <w:rsid w:val="56436F20"/>
    <w:rsid w:val="565534F6"/>
    <w:rsid w:val="565F21C4"/>
    <w:rsid w:val="56695CC5"/>
    <w:rsid w:val="566C5B64"/>
    <w:rsid w:val="567165AD"/>
    <w:rsid w:val="56723AAC"/>
    <w:rsid w:val="567305B7"/>
    <w:rsid w:val="56771132"/>
    <w:rsid w:val="5679344C"/>
    <w:rsid w:val="568503FA"/>
    <w:rsid w:val="5688075D"/>
    <w:rsid w:val="56A1096E"/>
    <w:rsid w:val="56A17B88"/>
    <w:rsid w:val="56A357E3"/>
    <w:rsid w:val="56A57C0B"/>
    <w:rsid w:val="56A8742A"/>
    <w:rsid w:val="56B12E91"/>
    <w:rsid w:val="56B25968"/>
    <w:rsid w:val="56B529E9"/>
    <w:rsid w:val="56B61334"/>
    <w:rsid w:val="56B61C13"/>
    <w:rsid w:val="56B61F1C"/>
    <w:rsid w:val="56B90C55"/>
    <w:rsid w:val="56BD619F"/>
    <w:rsid w:val="56BE051C"/>
    <w:rsid w:val="56CA2D74"/>
    <w:rsid w:val="56CE697F"/>
    <w:rsid w:val="56CF148D"/>
    <w:rsid w:val="56D267F1"/>
    <w:rsid w:val="56D8080E"/>
    <w:rsid w:val="56E11873"/>
    <w:rsid w:val="56EA449C"/>
    <w:rsid w:val="56EA7CD2"/>
    <w:rsid w:val="56EC5096"/>
    <w:rsid w:val="56ED74A9"/>
    <w:rsid w:val="56F638D9"/>
    <w:rsid w:val="56F968FB"/>
    <w:rsid w:val="56FE0B1C"/>
    <w:rsid w:val="56FE3FFB"/>
    <w:rsid w:val="570375B3"/>
    <w:rsid w:val="57111227"/>
    <w:rsid w:val="57167D8B"/>
    <w:rsid w:val="571A06A8"/>
    <w:rsid w:val="571B3764"/>
    <w:rsid w:val="571E2C5C"/>
    <w:rsid w:val="57215BD2"/>
    <w:rsid w:val="5726522E"/>
    <w:rsid w:val="57274EA3"/>
    <w:rsid w:val="572C0D49"/>
    <w:rsid w:val="572D290C"/>
    <w:rsid w:val="573973CE"/>
    <w:rsid w:val="57401052"/>
    <w:rsid w:val="574C1A2C"/>
    <w:rsid w:val="574D70C1"/>
    <w:rsid w:val="57503D11"/>
    <w:rsid w:val="575921B9"/>
    <w:rsid w:val="575D15B2"/>
    <w:rsid w:val="575F617C"/>
    <w:rsid w:val="576655CA"/>
    <w:rsid w:val="576A0BB7"/>
    <w:rsid w:val="57700AE2"/>
    <w:rsid w:val="57702289"/>
    <w:rsid w:val="57722F85"/>
    <w:rsid w:val="57747A68"/>
    <w:rsid w:val="57797F0D"/>
    <w:rsid w:val="577D1316"/>
    <w:rsid w:val="57803EEF"/>
    <w:rsid w:val="578C5E12"/>
    <w:rsid w:val="578D5C37"/>
    <w:rsid w:val="57991934"/>
    <w:rsid w:val="57993472"/>
    <w:rsid w:val="57994AF2"/>
    <w:rsid w:val="579B60AA"/>
    <w:rsid w:val="579E4986"/>
    <w:rsid w:val="57A86843"/>
    <w:rsid w:val="57AC77BD"/>
    <w:rsid w:val="57AE7A61"/>
    <w:rsid w:val="57AF0A27"/>
    <w:rsid w:val="57BC6FFF"/>
    <w:rsid w:val="57BD39E4"/>
    <w:rsid w:val="57C35C89"/>
    <w:rsid w:val="57C378C8"/>
    <w:rsid w:val="57C50EB2"/>
    <w:rsid w:val="57C70491"/>
    <w:rsid w:val="57CB70F7"/>
    <w:rsid w:val="57CC364A"/>
    <w:rsid w:val="57D56D76"/>
    <w:rsid w:val="57DA2B03"/>
    <w:rsid w:val="57E708AA"/>
    <w:rsid w:val="57E74257"/>
    <w:rsid w:val="57EC3417"/>
    <w:rsid w:val="57F57C77"/>
    <w:rsid w:val="57F81034"/>
    <w:rsid w:val="57FD096B"/>
    <w:rsid w:val="57FE13E8"/>
    <w:rsid w:val="580026EA"/>
    <w:rsid w:val="58073056"/>
    <w:rsid w:val="580C55AF"/>
    <w:rsid w:val="580E3BB2"/>
    <w:rsid w:val="581041D3"/>
    <w:rsid w:val="581E3A26"/>
    <w:rsid w:val="582604A4"/>
    <w:rsid w:val="582D5C62"/>
    <w:rsid w:val="582D6F85"/>
    <w:rsid w:val="583144D3"/>
    <w:rsid w:val="58366234"/>
    <w:rsid w:val="58371A4F"/>
    <w:rsid w:val="58440F0E"/>
    <w:rsid w:val="58450BD3"/>
    <w:rsid w:val="58456F22"/>
    <w:rsid w:val="584746FD"/>
    <w:rsid w:val="584A090B"/>
    <w:rsid w:val="584E08BF"/>
    <w:rsid w:val="584E7135"/>
    <w:rsid w:val="584F3DAA"/>
    <w:rsid w:val="585225F3"/>
    <w:rsid w:val="585445CF"/>
    <w:rsid w:val="585C6C5A"/>
    <w:rsid w:val="58620690"/>
    <w:rsid w:val="58672C47"/>
    <w:rsid w:val="58721731"/>
    <w:rsid w:val="587568D1"/>
    <w:rsid w:val="58861CE7"/>
    <w:rsid w:val="588A5D7F"/>
    <w:rsid w:val="589B3085"/>
    <w:rsid w:val="58A42FEB"/>
    <w:rsid w:val="58A63B14"/>
    <w:rsid w:val="58AA0B2D"/>
    <w:rsid w:val="58AB5C30"/>
    <w:rsid w:val="58AC3947"/>
    <w:rsid w:val="58AF4989"/>
    <w:rsid w:val="58B05C0D"/>
    <w:rsid w:val="58B44409"/>
    <w:rsid w:val="58BC05DF"/>
    <w:rsid w:val="58BF668D"/>
    <w:rsid w:val="58C53211"/>
    <w:rsid w:val="58C829BE"/>
    <w:rsid w:val="58DA768B"/>
    <w:rsid w:val="58E83004"/>
    <w:rsid w:val="58EC09B8"/>
    <w:rsid w:val="58EF61D4"/>
    <w:rsid w:val="58F16E3F"/>
    <w:rsid w:val="58F536D9"/>
    <w:rsid w:val="58FF1B1C"/>
    <w:rsid w:val="59090D3D"/>
    <w:rsid w:val="59121418"/>
    <w:rsid w:val="5918552C"/>
    <w:rsid w:val="5922090D"/>
    <w:rsid w:val="59246BE1"/>
    <w:rsid w:val="59295769"/>
    <w:rsid w:val="59331662"/>
    <w:rsid w:val="593A230D"/>
    <w:rsid w:val="59407A13"/>
    <w:rsid w:val="5944468B"/>
    <w:rsid w:val="595C3EC0"/>
    <w:rsid w:val="595C5811"/>
    <w:rsid w:val="5962775A"/>
    <w:rsid w:val="596879E7"/>
    <w:rsid w:val="596D6C16"/>
    <w:rsid w:val="59730F61"/>
    <w:rsid w:val="59797FA2"/>
    <w:rsid w:val="597B7157"/>
    <w:rsid w:val="598A1F68"/>
    <w:rsid w:val="598A7745"/>
    <w:rsid w:val="598C1E2E"/>
    <w:rsid w:val="598E4182"/>
    <w:rsid w:val="599958EB"/>
    <w:rsid w:val="599B1C06"/>
    <w:rsid w:val="599C1B9C"/>
    <w:rsid w:val="59A12C2B"/>
    <w:rsid w:val="59A84864"/>
    <w:rsid w:val="59AD6F38"/>
    <w:rsid w:val="59AE4AAE"/>
    <w:rsid w:val="59B85333"/>
    <w:rsid w:val="59BE4B75"/>
    <w:rsid w:val="59C0139D"/>
    <w:rsid w:val="59CC754B"/>
    <w:rsid w:val="59CF4B25"/>
    <w:rsid w:val="59D40171"/>
    <w:rsid w:val="59DD4929"/>
    <w:rsid w:val="59DE3999"/>
    <w:rsid w:val="59E24FF9"/>
    <w:rsid w:val="59E8078D"/>
    <w:rsid w:val="59EB0611"/>
    <w:rsid w:val="59EE13CD"/>
    <w:rsid w:val="59F44DA5"/>
    <w:rsid w:val="59F62CA4"/>
    <w:rsid w:val="59FF073B"/>
    <w:rsid w:val="5A010E78"/>
    <w:rsid w:val="5A093F86"/>
    <w:rsid w:val="5A0E2124"/>
    <w:rsid w:val="5A1C03BD"/>
    <w:rsid w:val="5A1D55CA"/>
    <w:rsid w:val="5A1F2171"/>
    <w:rsid w:val="5A212B46"/>
    <w:rsid w:val="5A234A6D"/>
    <w:rsid w:val="5A262004"/>
    <w:rsid w:val="5A321A9F"/>
    <w:rsid w:val="5A3672C8"/>
    <w:rsid w:val="5A382F6C"/>
    <w:rsid w:val="5A3A1D24"/>
    <w:rsid w:val="5A3D398D"/>
    <w:rsid w:val="5A3D45CD"/>
    <w:rsid w:val="5A4675AB"/>
    <w:rsid w:val="5A5D7467"/>
    <w:rsid w:val="5A616544"/>
    <w:rsid w:val="5A677AE0"/>
    <w:rsid w:val="5A727BB8"/>
    <w:rsid w:val="5A782C67"/>
    <w:rsid w:val="5A792624"/>
    <w:rsid w:val="5A846D08"/>
    <w:rsid w:val="5A905D3F"/>
    <w:rsid w:val="5A970141"/>
    <w:rsid w:val="5A985021"/>
    <w:rsid w:val="5A9E1202"/>
    <w:rsid w:val="5AB62219"/>
    <w:rsid w:val="5AB67BC7"/>
    <w:rsid w:val="5AB840A5"/>
    <w:rsid w:val="5AC226F0"/>
    <w:rsid w:val="5AD167FA"/>
    <w:rsid w:val="5AD61B98"/>
    <w:rsid w:val="5ADC1483"/>
    <w:rsid w:val="5AE43409"/>
    <w:rsid w:val="5AF4118F"/>
    <w:rsid w:val="5AF43138"/>
    <w:rsid w:val="5AF50D10"/>
    <w:rsid w:val="5AF820E9"/>
    <w:rsid w:val="5AFC7ACF"/>
    <w:rsid w:val="5B013D2B"/>
    <w:rsid w:val="5B01420F"/>
    <w:rsid w:val="5B016F7D"/>
    <w:rsid w:val="5B08077B"/>
    <w:rsid w:val="5B0976A3"/>
    <w:rsid w:val="5B125BDD"/>
    <w:rsid w:val="5B141AB2"/>
    <w:rsid w:val="5B1A0E37"/>
    <w:rsid w:val="5B1C0F80"/>
    <w:rsid w:val="5B1D0116"/>
    <w:rsid w:val="5B2410B0"/>
    <w:rsid w:val="5B24347E"/>
    <w:rsid w:val="5B266C19"/>
    <w:rsid w:val="5B277F80"/>
    <w:rsid w:val="5B2A0C54"/>
    <w:rsid w:val="5B2C19EF"/>
    <w:rsid w:val="5B2D44FE"/>
    <w:rsid w:val="5B2E48C0"/>
    <w:rsid w:val="5B300C9A"/>
    <w:rsid w:val="5B346F3D"/>
    <w:rsid w:val="5B3616F4"/>
    <w:rsid w:val="5B3749B7"/>
    <w:rsid w:val="5B3951AC"/>
    <w:rsid w:val="5B3D699C"/>
    <w:rsid w:val="5B3F5EBC"/>
    <w:rsid w:val="5B466A71"/>
    <w:rsid w:val="5B4A4737"/>
    <w:rsid w:val="5B4A76F7"/>
    <w:rsid w:val="5B4B388F"/>
    <w:rsid w:val="5B4D21FC"/>
    <w:rsid w:val="5B525D4C"/>
    <w:rsid w:val="5B550330"/>
    <w:rsid w:val="5B57156B"/>
    <w:rsid w:val="5B5A5DEF"/>
    <w:rsid w:val="5B5C54D0"/>
    <w:rsid w:val="5B5D295D"/>
    <w:rsid w:val="5B5F17AD"/>
    <w:rsid w:val="5B6565F2"/>
    <w:rsid w:val="5B6B66A2"/>
    <w:rsid w:val="5B71398B"/>
    <w:rsid w:val="5B762544"/>
    <w:rsid w:val="5B766D6E"/>
    <w:rsid w:val="5B7A30FD"/>
    <w:rsid w:val="5B7E3BC0"/>
    <w:rsid w:val="5B8027AB"/>
    <w:rsid w:val="5B813AB0"/>
    <w:rsid w:val="5B8143D0"/>
    <w:rsid w:val="5B8313B8"/>
    <w:rsid w:val="5B8431A5"/>
    <w:rsid w:val="5B865FB0"/>
    <w:rsid w:val="5B8A4E3F"/>
    <w:rsid w:val="5B8C43F7"/>
    <w:rsid w:val="5B9D66F5"/>
    <w:rsid w:val="5B9E4B80"/>
    <w:rsid w:val="5B9F1E33"/>
    <w:rsid w:val="5BBC41F1"/>
    <w:rsid w:val="5BD22366"/>
    <w:rsid w:val="5BE870C7"/>
    <w:rsid w:val="5BF139DF"/>
    <w:rsid w:val="5BFFDC79"/>
    <w:rsid w:val="5C002A17"/>
    <w:rsid w:val="5C044AAD"/>
    <w:rsid w:val="5C0B0F60"/>
    <w:rsid w:val="5C0B1D01"/>
    <w:rsid w:val="5C0C16EC"/>
    <w:rsid w:val="5C0E6D40"/>
    <w:rsid w:val="5C0E7948"/>
    <w:rsid w:val="5C170698"/>
    <w:rsid w:val="5C182FA1"/>
    <w:rsid w:val="5C1B5200"/>
    <w:rsid w:val="5C1E2D6F"/>
    <w:rsid w:val="5C234ADB"/>
    <w:rsid w:val="5C245396"/>
    <w:rsid w:val="5C263AF1"/>
    <w:rsid w:val="5C2B0ABC"/>
    <w:rsid w:val="5C3541C6"/>
    <w:rsid w:val="5C384590"/>
    <w:rsid w:val="5C386B80"/>
    <w:rsid w:val="5C3913BB"/>
    <w:rsid w:val="5C4210C5"/>
    <w:rsid w:val="5C436330"/>
    <w:rsid w:val="5C5A48FC"/>
    <w:rsid w:val="5C61698D"/>
    <w:rsid w:val="5C65325B"/>
    <w:rsid w:val="5C672AA9"/>
    <w:rsid w:val="5C684121"/>
    <w:rsid w:val="5C6E05E7"/>
    <w:rsid w:val="5C6E147C"/>
    <w:rsid w:val="5C711BEF"/>
    <w:rsid w:val="5C817349"/>
    <w:rsid w:val="5C865427"/>
    <w:rsid w:val="5C8E5E0E"/>
    <w:rsid w:val="5C8F2594"/>
    <w:rsid w:val="5C8F2968"/>
    <w:rsid w:val="5C8F41F6"/>
    <w:rsid w:val="5CA45F3B"/>
    <w:rsid w:val="5CA54DBA"/>
    <w:rsid w:val="5CA7652A"/>
    <w:rsid w:val="5CAF5987"/>
    <w:rsid w:val="5CBE1C5A"/>
    <w:rsid w:val="5CC67B05"/>
    <w:rsid w:val="5CCB3658"/>
    <w:rsid w:val="5CD0161B"/>
    <w:rsid w:val="5CD43702"/>
    <w:rsid w:val="5CD652FF"/>
    <w:rsid w:val="5CD72837"/>
    <w:rsid w:val="5CDB41E5"/>
    <w:rsid w:val="5CDC6DF9"/>
    <w:rsid w:val="5CF14D90"/>
    <w:rsid w:val="5CF155FC"/>
    <w:rsid w:val="5CF52474"/>
    <w:rsid w:val="5CF7639E"/>
    <w:rsid w:val="5CFB0514"/>
    <w:rsid w:val="5D074CED"/>
    <w:rsid w:val="5D0830F8"/>
    <w:rsid w:val="5D0960DF"/>
    <w:rsid w:val="5D0A1AED"/>
    <w:rsid w:val="5D17706B"/>
    <w:rsid w:val="5D1806E1"/>
    <w:rsid w:val="5D211972"/>
    <w:rsid w:val="5D2648A9"/>
    <w:rsid w:val="5D283938"/>
    <w:rsid w:val="5D295659"/>
    <w:rsid w:val="5D2C0F13"/>
    <w:rsid w:val="5D301C19"/>
    <w:rsid w:val="5D336403"/>
    <w:rsid w:val="5D415827"/>
    <w:rsid w:val="5D4757CB"/>
    <w:rsid w:val="5D4E4414"/>
    <w:rsid w:val="5D5140C3"/>
    <w:rsid w:val="5D5571CB"/>
    <w:rsid w:val="5D5D645A"/>
    <w:rsid w:val="5D5E7651"/>
    <w:rsid w:val="5D6178AE"/>
    <w:rsid w:val="5D654EEE"/>
    <w:rsid w:val="5D6A375C"/>
    <w:rsid w:val="5D8209F9"/>
    <w:rsid w:val="5D8463E1"/>
    <w:rsid w:val="5D85349A"/>
    <w:rsid w:val="5D8910AA"/>
    <w:rsid w:val="5D8B34DD"/>
    <w:rsid w:val="5D8D4CA1"/>
    <w:rsid w:val="5D915A0E"/>
    <w:rsid w:val="5D985772"/>
    <w:rsid w:val="5D996660"/>
    <w:rsid w:val="5D9B7425"/>
    <w:rsid w:val="5DB36184"/>
    <w:rsid w:val="5DB43B43"/>
    <w:rsid w:val="5DB549CD"/>
    <w:rsid w:val="5DBC2B6E"/>
    <w:rsid w:val="5DC04AE0"/>
    <w:rsid w:val="5DC32ED4"/>
    <w:rsid w:val="5DCE6DA6"/>
    <w:rsid w:val="5DDD3D27"/>
    <w:rsid w:val="5DE03032"/>
    <w:rsid w:val="5DE13AE9"/>
    <w:rsid w:val="5DE43F68"/>
    <w:rsid w:val="5DED2B54"/>
    <w:rsid w:val="5DEE0C8E"/>
    <w:rsid w:val="5DF20F6F"/>
    <w:rsid w:val="5DFC2231"/>
    <w:rsid w:val="5E0B6E1E"/>
    <w:rsid w:val="5E104352"/>
    <w:rsid w:val="5E145319"/>
    <w:rsid w:val="5E167257"/>
    <w:rsid w:val="5E171EE1"/>
    <w:rsid w:val="5E1C3B06"/>
    <w:rsid w:val="5E2266B5"/>
    <w:rsid w:val="5E2B235E"/>
    <w:rsid w:val="5E37107A"/>
    <w:rsid w:val="5E4A021B"/>
    <w:rsid w:val="5E4C7E09"/>
    <w:rsid w:val="5E4E70C6"/>
    <w:rsid w:val="5E524196"/>
    <w:rsid w:val="5E597BE8"/>
    <w:rsid w:val="5E5B12F6"/>
    <w:rsid w:val="5E6D30AC"/>
    <w:rsid w:val="5E6F14F6"/>
    <w:rsid w:val="5E7005E8"/>
    <w:rsid w:val="5E7C55A6"/>
    <w:rsid w:val="5E7E755D"/>
    <w:rsid w:val="5E806C32"/>
    <w:rsid w:val="5E84144B"/>
    <w:rsid w:val="5E8803AA"/>
    <w:rsid w:val="5E8E30BC"/>
    <w:rsid w:val="5E9025EA"/>
    <w:rsid w:val="5E977CF8"/>
    <w:rsid w:val="5EA00B0F"/>
    <w:rsid w:val="5EA84709"/>
    <w:rsid w:val="5EAE0817"/>
    <w:rsid w:val="5EAF0F45"/>
    <w:rsid w:val="5EB016E9"/>
    <w:rsid w:val="5EB2192A"/>
    <w:rsid w:val="5EB34413"/>
    <w:rsid w:val="5EB63FEB"/>
    <w:rsid w:val="5EB77E02"/>
    <w:rsid w:val="5EBF1733"/>
    <w:rsid w:val="5EC121A2"/>
    <w:rsid w:val="5EC46344"/>
    <w:rsid w:val="5ECD1244"/>
    <w:rsid w:val="5ED46382"/>
    <w:rsid w:val="5EDB31B6"/>
    <w:rsid w:val="5EDC614C"/>
    <w:rsid w:val="5EE017FC"/>
    <w:rsid w:val="5EE3061D"/>
    <w:rsid w:val="5EEB4428"/>
    <w:rsid w:val="5EEC44EF"/>
    <w:rsid w:val="5EF05EE3"/>
    <w:rsid w:val="5EF20365"/>
    <w:rsid w:val="5EF400B6"/>
    <w:rsid w:val="5EF652CD"/>
    <w:rsid w:val="5EFB7F3E"/>
    <w:rsid w:val="5EFF3DCB"/>
    <w:rsid w:val="5F0169C8"/>
    <w:rsid w:val="5F0836E8"/>
    <w:rsid w:val="5F0C14D6"/>
    <w:rsid w:val="5F0D560D"/>
    <w:rsid w:val="5F120AD4"/>
    <w:rsid w:val="5F1C5258"/>
    <w:rsid w:val="5F206D20"/>
    <w:rsid w:val="5F2259D9"/>
    <w:rsid w:val="5F272D9D"/>
    <w:rsid w:val="5F3560BF"/>
    <w:rsid w:val="5F3C7D61"/>
    <w:rsid w:val="5F4064D2"/>
    <w:rsid w:val="5F4403A4"/>
    <w:rsid w:val="5F493B5A"/>
    <w:rsid w:val="5F4A6A1F"/>
    <w:rsid w:val="5F4A7621"/>
    <w:rsid w:val="5F4B7109"/>
    <w:rsid w:val="5F530EF2"/>
    <w:rsid w:val="5F537CC9"/>
    <w:rsid w:val="5F550C81"/>
    <w:rsid w:val="5F574AC4"/>
    <w:rsid w:val="5F5B2D17"/>
    <w:rsid w:val="5F61081C"/>
    <w:rsid w:val="5F615C89"/>
    <w:rsid w:val="5F6233B9"/>
    <w:rsid w:val="5F6A71A7"/>
    <w:rsid w:val="5F6C5609"/>
    <w:rsid w:val="5F703844"/>
    <w:rsid w:val="5F714463"/>
    <w:rsid w:val="5F780824"/>
    <w:rsid w:val="5F8C31CB"/>
    <w:rsid w:val="5F9B1E0E"/>
    <w:rsid w:val="5FA02C28"/>
    <w:rsid w:val="5FA25705"/>
    <w:rsid w:val="5FA55330"/>
    <w:rsid w:val="5FA93CD2"/>
    <w:rsid w:val="5FAC08E9"/>
    <w:rsid w:val="5FB10EBB"/>
    <w:rsid w:val="5FB45E6F"/>
    <w:rsid w:val="5FB7246A"/>
    <w:rsid w:val="5FB7255D"/>
    <w:rsid w:val="5FBA154B"/>
    <w:rsid w:val="5FBA4679"/>
    <w:rsid w:val="5FC04EEF"/>
    <w:rsid w:val="5FC2112A"/>
    <w:rsid w:val="5FC6EB12"/>
    <w:rsid w:val="5FD01CC6"/>
    <w:rsid w:val="5FD13B66"/>
    <w:rsid w:val="5FD46A9C"/>
    <w:rsid w:val="5FD53FAE"/>
    <w:rsid w:val="5FD55C2A"/>
    <w:rsid w:val="5FDB0DA2"/>
    <w:rsid w:val="5FE15CA9"/>
    <w:rsid w:val="5FE779B9"/>
    <w:rsid w:val="5FFB759A"/>
    <w:rsid w:val="5FFED324"/>
    <w:rsid w:val="6008771C"/>
    <w:rsid w:val="600C3797"/>
    <w:rsid w:val="600F1B59"/>
    <w:rsid w:val="600F255D"/>
    <w:rsid w:val="60163F3E"/>
    <w:rsid w:val="601F6A35"/>
    <w:rsid w:val="6022581B"/>
    <w:rsid w:val="602A2255"/>
    <w:rsid w:val="602E1840"/>
    <w:rsid w:val="60300F56"/>
    <w:rsid w:val="604B7F36"/>
    <w:rsid w:val="604E4953"/>
    <w:rsid w:val="604F7AD4"/>
    <w:rsid w:val="605651A4"/>
    <w:rsid w:val="60577312"/>
    <w:rsid w:val="605A2506"/>
    <w:rsid w:val="605A5832"/>
    <w:rsid w:val="605A6DAA"/>
    <w:rsid w:val="605F3D6D"/>
    <w:rsid w:val="60615E0B"/>
    <w:rsid w:val="60622E29"/>
    <w:rsid w:val="60632A57"/>
    <w:rsid w:val="606336AA"/>
    <w:rsid w:val="60652029"/>
    <w:rsid w:val="60720592"/>
    <w:rsid w:val="60730C0B"/>
    <w:rsid w:val="60790886"/>
    <w:rsid w:val="607B2F1D"/>
    <w:rsid w:val="607B40EC"/>
    <w:rsid w:val="60892BAF"/>
    <w:rsid w:val="608A455A"/>
    <w:rsid w:val="60966040"/>
    <w:rsid w:val="60981E29"/>
    <w:rsid w:val="609E02B2"/>
    <w:rsid w:val="609F1237"/>
    <w:rsid w:val="60A15AC8"/>
    <w:rsid w:val="60A50CF5"/>
    <w:rsid w:val="60AE6EF9"/>
    <w:rsid w:val="60AF6D73"/>
    <w:rsid w:val="60B042A7"/>
    <w:rsid w:val="60BB42CE"/>
    <w:rsid w:val="60C93CA1"/>
    <w:rsid w:val="60D158A0"/>
    <w:rsid w:val="60D85714"/>
    <w:rsid w:val="60DF17A5"/>
    <w:rsid w:val="60E822B0"/>
    <w:rsid w:val="60EA1A60"/>
    <w:rsid w:val="60EC6E5D"/>
    <w:rsid w:val="60F80528"/>
    <w:rsid w:val="610965DF"/>
    <w:rsid w:val="61106014"/>
    <w:rsid w:val="61112F63"/>
    <w:rsid w:val="611574E2"/>
    <w:rsid w:val="61183586"/>
    <w:rsid w:val="61185FD6"/>
    <w:rsid w:val="612D6F9B"/>
    <w:rsid w:val="61377F07"/>
    <w:rsid w:val="613958C6"/>
    <w:rsid w:val="61396E6B"/>
    <w:rsid w:val="613B01F8"/>
    <w:rsid w:val="613E27C2"/>
    <w:rsid w:val="613F1997"/>
    <w:rsid w:val="614726F4"/>
    <w:rsid w:val="614E38C5"/>
    <w:rsid w:val="615146CC"/>
    <w:rsid w:val="61574646"/>
    <w:rsid w:val="615C136F"/>
    <w:rsid w:val="615E5A7F"/>
    <w:rsid w:val="61616067"/>
    <w:rsid w:val="6167794C"/>
    <w:rsid w:val="616A20CC"/>
    <w:rsid w:val="616D1134"/>
    <w:rsid w:val="61746756"/>
    <w:rsid w:val="61771124"/>
    <w:rsid w:val="61780C37"/>
    <w:rsid w:val="61787DD1"/>
    <w:rsid w:val="618076A8"/>
    <w:rsid w:val="61824E16"/>
    <w:rsid w:val="618504E1"/>
    <w:rsid w:val="618818A7"/>
    <w:rsid w:val="618D060A"/>
    <w:rsid w:val="619204A7"/>
    <w:rsid w:val="61A011BF"/>
    <w:rsid w:val="61AC5969"/>
    <w:rsid w:val="61B01600"/>
    <w:rsid w:val="61B41B1C"/>
    <w:rsid w:val="61B47641"/>
    <w:rsid w:val="61B917CD"/>
    <w:rsid w:val="61B97816"/>
    <w:rsid w:val="61C00FE8"/>
    <w:rsid w:val="61C177B3"/>
    <w:rsid w:val="61C4017D"/>
    <w:rsid w:val="61C879E5"/>
    <w:rsid w:val="61CA4EC7"/>
    <w:rsid w:val="61CA7BAC"/>
    <w:rsid w:val="61D36800"/>
    <w:rsid w:val="61D40D4D"/>
    <w:rsid w:val="61D41127"/>
    <w:rsid w:val="61D46389"/>
    <w:rsid w:val="61D752F0"/>
    <w:rsid w:val="61D93B99"/>
    <w:rsid w:val="61DA526F"/>
    <w:rsid w:val="61DC4D16"/>
    <w:rsid w:val="61E00B91"/>
    <w:rsid w:val="61EB687F"/>
    <w:rsid w:val="61F0542C"/>
    <w:rsid w:val="61F72A6B"/>
    <w:rsid w:val="61F74885"/>
    <w:rsid w:val="61FB6830"/>
    <w:rsid w:val="61FE2EEB"/>
    <w:rsid w:val="620324AF"/>
    <w:rsid w:val="62053533"/>
    <w:rsid w:val="620821D5"/>
    <w:rsid w:val="62082B3D"/>
    <w:rsid w:val="620D14FE"/>
    <w:rsid w:val="620F3635"/>
    <w:rsid w:val="6217738C"/>
    <w:rsid w:val="62180D7E"/>
    <w:rsid w:val="621D4B72"/>
    <w:rsid w:val="621D7C43"/>
    <w:rsid w:val="621E06ED"/>
    <w:rsid w:val="621F1E75"/>
    <w:rsid w:val="62234074"/>
    <w:rsid w:val="622A2648"/>
    <w:rsid w:val="622F6ED6"/>
    <w:rsid w:val="622F73CB"/>
    <w:rsid w:val="62322BB6"/>
    <w:rsid w:val="623B04F6"/>
    <w:rsid w:val="623B1A48"/>
    <w:rsid w:val="6243291D"/>
    <w:rsid w:val="624E07EF"/>
    <w:rsid w:val="624E0B72"/>
    <w:rsid w:val="62572F37"/>
    <w:rsid w:val="625A6743"/>
    <w:rsid w:val="625B6F06"/>
    <w:rsid w:val="62604309"/>
    <w:rsid w:val="62641FE1"/>
    <w:rsid w:val="62703F94"/>
    <w:rsid w:val="62706529"/>
    <w:rsid w:val="62854438"/>
    <w:rsid w:val="628A36BE"/>
    <w:rsid w:val="62947FA4"/>
    <w:rsid w:val="629B5AA7"/>
    <w:rsid w:val="62A2456D"/>
    <w:rsid w:val="62A37261"/>
    <w:rsid w:val="62A50FE0"/>
    <w:rsid w:val="62A64F49"/>
    <w:rsid w:val="62A84276"/>
    <w:rsid w:val="62A90A1E"/>
    <w:rsid w:val="62AD7495"/>
    <w:rsid w:val="62B216C7"/>
    <w:rsid w:val="62B453F9"/>
    <w:rsid w:val="62C01E93"/>
    <w:rsid w:val="62C107CA"/>
    <w:rsid w:val="62C31400"/>
    <w:rsid w:val="62CB3916"/>
    <w:rsid w:val="62D2388C"/>
    <w:rsid w:val="62DC3623"/>
    <w:rsid w:val="62E17FB4"/>
    <w:rsid w:val="62E27E16"/>
    <w:rsid w:val="62E81D53"/>
    <w:rsid w:val="62E83F51"/>
    <w:rsid w:val="62E93104"/>
    <w:rsid w:val="62EC4170"/>
    <w:rsid w:val="62EF6336"/>
    <w:rsid w:val="62F13F13"/>
    <w:rsid w:val="630032CA"/>
    <w:rsid w:val="63083C51"/>
    <w:rsid w:val="630E0D76"/>
    <w:rsid w:val="631B2101"/>
    <w:rsid w:val="631C4904"/>
    <w:rsid w:val="631D7016"/>
    <w:rsid w:val="632D65AB"/>
    <w:rsid w:val="63327D5C"/>
    <w:rsid w:val="63334E92"/>
    <w:rsid w:val="63351477"/>
    <w:rsid w:val="63383F52"/>
    <w:rsid w:val="633C4D4B"/>
    <w:rsid w:val="63436203"/>
    <w:rsid w:val="63464691"/>
    <w:rsid w:val="634665C5"/>
    <w:rsid w:val="634C33CB"/>
    <w:rsid w:val="634C3873"/>
    <w:rsid w:val="635421EE"/>
    <w:rsid w:val="63572875"/>
    <w:rsid w:val="63574964"/>
    <w:rsid w:val="635C682C"/>
    <w:rsid w:val="635D22E8"/>
    <w:rsid w:val="63673743"/>
    <w:rsid w:val="636F455A"/>
    <w:rsid w:val="637628BB"/>
    <w:rsid w:val="63765057"/>
    <w:rsid w:val="63784856"/>
    <w:rsid w:val="637D137E"/>
    <w:rsid w:val="6387523B"/>
    <w:rsid w:val="639906A4"/>
    <w:rsid w:val="639A1E91"/>
    <w:rsid w:val="639C1364"/>
    <w:rsid w:val="639E4327"/>
    <w:rsid w:val="63AB5F68"/>
    <w:rsid w:val="63B002AC"/>
    <w:rsid w:val="63B044E8"/>
    <w:rsid w:val="63B5082F"/>
    <w:rsid w:val="63B7228A"/>
    <w:rsid w:val="63B862D5"/>
    <w:rsid w:val="63C062C6"/>
    <w:rsid w:val="63C07C36"/>
    <w:rsid w:val="63CA49DF"/>
    <w:rsid w:val="63CE76D0"/>
    <w:rsid w:val="63D84EDF"/>
    <w:rsid w:val="63D936F0"/>
    <w:rsid w:val="63DB47E9"/>
    <w:rsid w:val="63E01C30"/>
    <w:rsid w:val="63E16DB4"/>
    <w:rsid w:val="63E74FE5"/>
    <w:rsid w:val="64006B18"/>
    <w:rsid w:val="640636C2"/>
    <w:rsid w:val="641C3D79"/>
    <w:rsid w:val="64280675"/>
    <w:rsid w:val="642C5585"/>
    <w:rsid w:val="642D230C"/>
    <w:rsid w:val="642E25F5"/>
    <w:rsid w:val="643A10C6"/>
    <w:rsid w:val="643C6820"/>
    <w:rsid w:val="64402DDB"/>
    <w:rsid w:val="64481FBD"/>
    <w:rsid w:val="64482C14"/>
    <w:rsid w:val="644F2508"/>
    <w:rsid w:val="64501553"/>
    <w:rsid w:val="64535B33"/>
    <w:rsid w:val="645B32E9"/>
    <w:rsid w:val="645B3E33"/>
    <w:rsid w:val="645C38CF"/>
    <w:rsid w:val="645E2846"/>
    <w:rsid w:val="64634974"/>
    <w:rsid w:val="646618E7"/>
    <w:rsid w:val="6470591A"/>
    <w:rsid w:val="64711D8D"/>
    <w:rsid w:val="647C76AC"/>
    <w:rsid w:val="647F3E85"/>
    <w:rsid w:val="64802D6E"/>
    <w:rsid w:val="648F5F0A"/>
    <w:rsid w:val="6498634C"/>
    <w:rsid w:val="649971A2"/>
    <w:rsid w:val="649B53DC"/>
    <w:rsid w:val="649E36DA"/>
    <w:rsid w:val="64A340E4"/>
    <w:rsid w:val="64A4332E"/>
    <w:rsid w:val="64A526B6"/>
    <w:rsid w:val="64AF2881"/>
    <w:rsid w:val="64B360B0"/>
    <w:rsid w:val="64B83525"/>
    <w:rsid w:val="64B93015"/>
    <w:rsid w:val="64C2485D"/>
    <w:rsid w:val="64C57F7F"/>
    <w:rsid w:val="64C80D68"/>
    <w:rsid w:val="64CA6F33"/>
    <w:rsid w:val="64CB5197"/>
    <w:rsid w:val="64CD06E3"/>
    <w:rsid w:val="64CF1DA7"/>
    <w:rsid w:val="64CF5D43"/>
    <w:rsid w:val="64D57137"/>
    <w:rsid w:val="64DB5E9B"/>
    <w:rsid w:val="64EB3DBC"/>
    <w:rsid w:val="64EE4C72"/>
    <w:rsid w:val="64F4646F"/>
    <w:rsid w:val="64F54E23"/>
    <w:rsid w:val="64F96EA4"/>
    <w:rsid w:val="64FD5A5D"/>
    <w:rsid w:val="64FD7414"/>
    <w:rsid w:val="65027201"/>
    <w:rsid w:val="650668BD"/>
    <w:rsid w:val="650703B1"/>
    <w:rsid w:val="65105434"/>
    <w:rsid w:val="65106F52"/>
    <w:rsid w:val="6511349F"/>
    <w:rsid w:val="65180128"/>
    <w:rsid w:val="65205D0C"/>
    <w:rsid w:val="65286A3A"/>
    <w:rsid w:val="652D670A"/>
    <w:rsid w:val="65304F88"/>
    <w:rsid w:val="653215FF"/>
    <w:rsid w:val="65333E6D"/>
    <w:rsid w:val="65351551"/>
    <w:rsid w:val="653A2790"/>
    <w:rsid w:val="653C20D3"/>
    <w:rsid w:val="653D14D0"/>
    <w:rsid w:val="65400531"/>
    <w:rsid w:val="6540787D"/>
    <w:rsid w:val="65550CFC"/>
    <w:rsid w:val="65594328"/>
    <w:rsid w:val="655C5779"/>
    <w:rsid w:val="655F4163"/>
    <w:rsid w:val="65610C7C"/>
    <w:rsid w:val="656A6848"/>
    <w:rsid w:val="65706DFD"/>
    <w:rsid w:val="65821F26"/>
    <w:rsid w:val="65853A7A"/>
    <w:rsid w:val="658C555E"/>
    <w:rsid w:val="65912D8F"/>
    <w:rsid w:val="659E1A58"/>
    <w:rsid w:val="65A166C8"/>
    <w:rsid w:val="65AB1536"/>
    <w:rsid w:val="65B23648"/>
    <w:rsid w:val="65B26891"/>
    <w:rsid w:val="65B43A43"/>
    <w:rsid w:val="65B62A25"/>
    <w:rsid w:val="65B644DA"/>
    <w:rsid w:val="65CD1FBB"/>
    <w:rsid w:val="65DD5446"/>
    <w:rsid w:val="65E05C27"/>
    <w:rsid w:val="65E112D5"/>
    <w:rsid w:val="65E1319D"/>
    <w:rsid w:val="65E5493C"/>
    <w:rsid w:val="65F132C4"/>
    <w:rsid w:val="65F14914"/>
    <w:rsid w:val="65F56F32"/>
    <w:rsid w:val="66045D1A"/>
    <w:rsid w:val="660F5BF9"/>
    <w:rsid w:val="661121FF"/>
    <w:rsid w:val="6613526C"/>
    <w:rsid w:val="66140B3A"/>
    <w:rsid w:val="661A50FA"/>
    <w:rsid w:val="6620451D"/>
    <w:rsid w:val="66207DE5"/>
    <w:rsid w:val="66224BB2"/>
    <w:rsid w:val="66274D79"/>
    <w:rsid w:val="662F3D40"/>
    <w:rsid w:val="663D1513"/>
    <w:rsid w:val="66540033"/>
    <w:rsid w:val="66564EF2"/>
    <w:rsid w:val="666708F8"/>
    <w:rsid w:val="666C1B19"/>
    <w:rsid w:val="666C67D3"/>
    <w:rsid w:val="666D613C"/>
    <w:rsid w:val="66772D83"/>
    <w:rsid w:val="66776CA2"/>
    <w:rsid w:val="66796BA9"/>
    <w:rsid w:val="667E0AAA"/>
    <w:rsid w:val="667E474B"/>
    <w:rsid w:val="667F5F6C"/>
    <w:rsid w:val="6683E4B9"/>
    <w:rsid w:val="66847474"/>
    <w:rsid w:val="668766C6"/>
    <w:rsid w:val="66893817"/>
    <w:rsid w:val="668E2EC6"/>
    <w:rsid w:val="6691475B"/>
    <w:rsid w:val="66945E32"/>
    <w:rsid w:val="6697393E"/>
    <w:rsid w:val="669972F1"/>
    <w:rsid w:val="669A48DB"/>
    <w:rsid w:val="669D0694"/>
    <w:rsid w:val="66A271F9"/>
    <w:rsid w:val="66AC0A70"/>
    <w:rsid w:val="66AE6C06"/>
    <w:rsid w:val="66B076B6"/>
    <w:rsid w:val="66B34CE4"/>
    <w:rsid w:val="66B44FF9"/>
    <w:rsid w:val="66B76E83"/>
    <w:rsid w:val="66B81B88"/>
    <w:rsid w:val="66B859BD"/>
    <w:rsid w:val="66B85E14"/>
    <w:rsid w:val="66B93590"/>
    <w:rsid w:val="66BD7F14"/>
    <w:rsid w:val="66C11750"/>
    <w:rsid w:val="66C574DD"/>
    <w:rsid w:val="66C62392"/>
    <w:rsid w:val="66CC7CFF"/>
    <w:rsid w:val="66CD03B4"/>
    <w:rsid w:val="66D63107"/>
    <w:rsid w:val="66D90835"/>
    <w:rsid w:val="66E005EB"/>
    <w:rsid w:val="66E42D5A"/>
    <w:rsid w:val="66E71D4E"/>
    <w:rsid w:val="66E77CC9"/>
    <w:rsid w:val="66EA5766"/>
    <w:rsid w:val="66F002C1"/>
    <w:rsid w:val="66F432D0"/>
    <w:rsid w:val="66F66BD6"/>
    <w:rsid w:val="66F808ED"/>
    <w:rsid w:val="66FC42FD"/>
    <w:rsid w:val="66FD73EF"/>
    <w:rsid w:val="670C52B5"/>
    <w:rsid w:val="67135687"/>
    <w:rsid w:val="671603A5"/>
    <w:rsid w:val="67172E93"/>
    <w:rsid w:val="67186FC2"/>
    <w:rsid w:val="6721312F"/>
    <w:rsid w:val="67217191"/>
    <w:rsid w:val="67223788"/>
    <w:rsid w:val="672F3A42"/>
    <w:rsid w:val="67344182"/>
    <w:rsid w:val="673750B6"/>
    <w:rsid w:val="673A1E48"/>
    <w:rsid w:val="673E45C9"/>
    <w:rsid w:val="673F60E3"/>
    <w:rsid w:val="67421D0B"/>
    <w:rsid w:val="67423B56"/>
    <w:rsid w:val="67433DB3"/>
    <w:rsid w:val="67482236"/>
    <w:rsid w:val="674E34F2"/>
    <w:rsid w:val="67507AD6"/>
    <w:rsid w:val="67521CA8"/>
    <w:rsid w:val="67531912"/>
    <w:rsid w:val="675323C9"/>
    <w:rsid w:val="67632156"/>
    <w:rsid w:val="67671105"/>
    <w:rsid w:val="67682E05"/>
    <w:rsid w:val="676B0FC9"/>
    <w:rsid w:val="676D507C"/>
    <w:rsid w:val="676E5884"/>
    <w:rsid w:val="676F3E37"/>
    <w:rsid w:val="67796E51"/>
    <w:rsid w:val="678A2E25"/>
    <w:rsid w:val="67906812"/>
    <w:rsid w:val="679323DB"/>
    <w:rsid w:val="679823DA"/>
    <w:rsid w:val="67990918"/>
    <w:rsid w:val="67AD5788"/>
    <w:rsid w:val="67AF28AC"/>
    <w:rsid w:val="67BA303D"/>
    <w:rsid w:val="67BC1C53"/>
    <w:rsid w:val="67C21B31"/>
    <w:rsid w:val="67C71958"/>
    <w:rsid w:val="67CE5470"/>
    <w:rsid w:val="67D41326"/>
    <w:rsid w:val="67DC7549"/>
    <w:rsid w:val="67DC7DED"/>
    <w:rsid w:val="67E273BE"/>
    <w:rsid w:val="67E70DD6"/>
    <w:rsid w:val="67F30200"/>
    <w:rsid w:val="67F70E5F"/>
    <w:rsid w:val="67F74BA9"/>
    <w:rsid w:val="67FA19CA"/>
    <w:rsid w:val="67FB6DED"/>
    <w:rsid w:val="67FE5C12"/>
    <w:rsid w:val="680657B4"/>
    <w:rsid w:val="68112349"/>
    <w:rsid w:val="68136AA7"/>
    <w:rsid w:val="68207F5E"/>
    <w:rsid w:val="682656D7"/>
    <w:rsid w:val="682A0CCB"/>
    <w:rsid w:val="683C3ED0"/>
    <w:rsid w:val="683F6098"/>
    <w:rsid w:val="684135A7"/>
    <w:rsid w:val="68436960"/>
    <w:rsid w:val="68437C5D"/>
    <w:rsid w:val="68476503"/>
    <w:rsid w:val="684B12AE"/>
    <w:rsid w:val="684B4A2A"/>
    <w:rsid w:val="685063F4"/>
    <w:rsid w:val="68571FF0"/>
    <w:rsid w:val="68636249"/>
    <w:rsid w:val="68706445"/>
    <w:rsid w:val="68752CEE"/>
    <w:rsid w:val="68792ADF"/>
    <w:rsid w:val="687D1BA3"/>
    <w:rsid w:val="687E5562"/>
    <w:rsid w:val="68861C40"/>
    <w:rsid w:val="68913032"/>
    <w:rsid w:val="68914AE2"/>
    <w:rsid w:val="68943D40"/>
    <w:rsid w:val="68955CA4"/>
    <w:rsid w:val="68964C2D"/>
    <w:rsid w:val="68966150"/>
    <w:rsid w:val="689C17BD"/>
    <w:rsid w:val="689C7B15"/>
    <w:rsid w:val="689D6889"/>
    <w:rsid w:val="68A82FAA"/>
    <w:rsid w:val="68B7679F"/>
    <w:rsid w:val="68C12FB3"/>
    <w:rsid w:val="68CA5CEC"/>
    <w:rsid w:val="68CC2865"/>
    <w:rsid w:val="68CC6385"/>
    <w:rsid w:val="68CE7A2C"/>
    <w:rsid w:val="68D461BE"/>
    <w:rsid w:val="68D54866"/>
    <w:rsid w:val="68DB0FA2"/>
    <w:rsid w:val="68E5022E"/>
    <w:rsid w:val="68E666EC"/>
    <w:rsid w:val="68E912B5"/>
    <w:rsid w:val="68EC3EAD"/>
    <w:rsid w:val="68FB448C"/>
    <w:rsid w:val="6900370B"/>
    <w:rsid w:val="69022134"/>
    <w:rsid w:val="690525B8"/>
    <w:rsid w:val="69073783"/>
    <w:rsid w:val="69164990"/>
    <w:rsid w:val="691A37C0"/>
    <w:rsid w:val="69216219"/>
    <w:rsid w:val="69240696"/>
    <w:rsid w:val="692E2178"/>
    <w:rsid w:val="69313033"/>
    <w:rsid w:val="69354129"/>
    <w:rsid w:val="693B477C"/>
    <w:rsid w:val="693B71BD"/>
    <w:rsid w:val="693F1C02"/>
    <w:rsid w:val="69457AE5"/>
    <w:rsid w:val="694F1BED"/>
    <w:rsid w:val="69502CF2"/>
    <w:rsid w:val="69511B95"/>
    <w:rsid w:val="695D154B"/>
    <w:rsid w:val="696D341D"/>
    <w:rsid w:val="69742CD6"/>
    <w:rsid w:val="69746633"/>
    <w:rsid w:val="69774D7B"/>
    <w:rsid w:val="69786C82"/>
    <w:rsid w:val="6979761E"/>
    <w:rsid w:val="697C1F2B"/>
    <w:rsid w:val="698F16A3"/>
    <w:rsid w:val="69902FA6"/>
    <w:rsid w:val="699250CD"/>
    <w:rsid w:val="699628B3"/>
    <w:rsid w:val="699A7F5A"/>
    <w:rsid w:val="699B30A2"/>
    <w:rsid w:val="699D68C6"/>
    <w:rsid w:val="69AA0497"/>
    <w:rsid w:val="69B16201"/>
    <w:rsid w:val="69B8093A"/>
    <w:rsid w:val="69BD1DCA"/>
    <w:rsid w:val="69BD6EC8"/>
    <w:rsid w:val="69C23A63"/>
    <w:rsid w:val="69D44F6E"/>
    <w:rsid w:val="69DA5D73"/>
    <w:rsid w:val="69DD77F1"/>
    <w:rsid w:val="69DF5077"/>
    <w:rsid w:val="69E02A81"/>
    <w:rsid w:val="69E62CA4"/>
    <w:rsid w:val="69E7734D"/>
    <w:rsid w:val="69EA4121"/>
    <w:rsid w:val="69EC0572"/>
    <w:rsid w:val="69ED13A2"/>
    <w:rsid w:val="69F919D6"/>
    <w:rsid w:val="6A002671"/>
    <w:rsid w:val="6A0625F2"/>
    <w:rsid w:val="6A0846F0"/>
    <w:rsid w:val="6A183CF8"/>
    <w:rsid w:val="6A1C593F"/>
    <w:rsid w:val="6A2400ED"/>
    <w:rsid w:val="6A283678"/>
    <w:rsid w:val="6A2A2C41"/>
    <w:rsid w:val="6A2F11BB"/>
    <w:rsid w:val="6A302632"/>
    <w:rsid w:val="6A32472A"/>
    <w:rsid w:val="6A326E6D"/>
    <w:rsid w:val="6A3374C5"/>
    <w:rsid w:val="6A3720D0"/>
    <w:rsid w:val="6A372E6C"/>
    <w:rsid w:val="6A4068F1"/>
    <w:rsid w:val="6A426951"/>
    <w:rsid w:val="6A436881"/>
    <w:rsid w:val="6A446746"/>
    <w:rsid w:val="6A4F4456"/>
    <w:rsid w:val="6A52790E"/>
    <w:rsid w:val="6A532CF2"/>
    <w:rsid w:val="6A5B78F3"/>
    <w:rsid w:val="6A7C52E0"/>
    <w:rsid w:val="6A840689"/>
    <w:rsid w:val="6A895C19"/>
    <w:rsid w:val="6A8A2766"/>
    <w:rsid w:val="6A8C7D10"/>
    <w:rsid w:val="6A8D2A83"/>
    <w:rsid w:val="6A951D02"/>
    <w:rsid w:val="6A992511"/>
    <w:rsid w:val="6A9A5AB8"/>
    <w:rsid w:val="6A9F6015"/>
    <w:rsid w:val="6AA577B1"/>
    <w:rsid w:val="6AA6180C"/>
    <w:rsid w:val="6AB27D4B"/>
    <w:rsid w:val="6AB83770"/>
    <w:rsid w:val="6ABB1E70"/>
    <w:rsid w:val="6ABE1600"/>
    <w:rsid w:val="6AC42007"/>
    <w:rsid w:val="6AC73DFF"/>
    <w:rsid w:val="6ACA7A8B"/>
    <w:rsid w:val="6ADA3A88"/>
    <w:rsid w:val="6ADD5B37"/>
    <w:rsid w:val="6AE06DA4"/>
    <w:rsid w:val="6AE14838"/>
    <w:rsid w:val="6AE14B98"/>
    <w:rsid w:val="6AEC3668"/>
    <w:rsid w:val="6AF111A6"/>
    <w:rsid w:val="6AF31512"/>
    <w:rsid w:val="6AF76E00"/>
    <w:rsid w:val="6AFA31D4"/>
    <w:rsid w:val="6AFDAC99"/>
    <w:rsid w:val="6B0B2ECC"/>
    <w:rsid w:val="6B0E597C"/>
    <w:rsid w:val="6B0E5E5F"/>
    <w:rsid w:val="6B124057"/>
    <w:rsid w:val="6B1246BF"/>
    <w:rsid w:val="6B15241A"/>
    <w:rsid w:val="6B1A1068"/>
    <w:rsid w:val="6B20273C"/>
    <w:rsid w:val="6B2308E7"/>
    <w:rsid w:val="6B243B19"/>
    <w:rsid w:val="6B28218C"/>
    <w:rsid w:val="6B28434C"/>
    <w:rsid w:val="6B2948AD"/>
    <w:rsid w:val="6B3B248F"/>
    <w:rsid w:val="6B3C1CD4"/>
    <w:rsid w:val="6B4620B5"/>
    <w:rsid w:val="6B585CBD"/>
    <w:rsid w:val="6B5B5118"/>
    <w:rsid w:val="6B623F02"/>
    <w:rsid w:val="6B64439D"/>
    <w:rsid w:val="6B683DE7"/>
    <w:rsid w:val="6B704A44"/>
    <w:rsid w:val="6B71228C"/>
    <w:rsid w:val="6B741EB6"/>
    <w:rsid w:val="6B747A64"/>
    <w:rsid w:val="6B791864"/>
    <w:rsid w:val="6B7B7A70"/>
    <w:rsid w:val="6B7F18EE"/>
    <w:rsid w:val="6B81449D"/>
    <w:rsid w:val="6B827D2E"/>
    <w:rsid w:val="6B8E153D"/>
    <w:rsid w:val="6B8F2392"/>
    <w:rsid w:val="6B901F3E"/>
    <w:rsid w:val="6BA11758"/>
    <w:rsid w:val="6BA16E90"/>
    <w:rsid w:val="6BA45840"/>
    <w:rsid w:val="6BAB34C7"/>
    <w:rsid w:val="6BB1115B"/>
    <w:rsid w:val="6BB41113"/>
    <w:rsid w:val="6BB44D42"/>
    <w:rsid w:val="6BB72055"/>
    <w:rsid w:val="6BBD778D"/>
    <w:rsid w:val="6BC12456"/>
    <w:rsid w:val="6BC7023E"/>
    <w:rsid w:val="6BCA7B91"/>
    <w:rsid w:val="6BD12C85"/>
    <w:rsid w:val="6BD135E0"/>
    <w:rsid w:val="6BD826E3"/>
    <w:rsid w:val="6BDE0F5C"/>
    <w:rsid w:val="6BDF76C4"/>
    <w:rsid w:val="6BE03FB0"/>
    <w:rsid w:val="6BE741A5"/>
    <w:rsid w:val="6BF02FA5"/>
    <w:rsid w:val="6BF11A80"/>
    <w:rsid w:val="6BF339E7"/>
    <w:rsid w:val="6BF526FD"/>
    <w:rsid w:val="6BF64EAE"/>
    <w:rsid w:val="6BF808D4"/>
    <w:rsid w:val="6BFA52D8"/>
    <w:rsid w:val="6C031F02"/>
    <w:rsid w:val="6C047F7F"/>
    <w:rsid w:val="6C0550C8"/>
    <w:rsid w:val="6C0A7463"/>
    <w:rsid w:val="6C133210"/>
    <w:rsid w:val="6C1B0B12"/>
    <w:rsid w:val="6C2324E5"/>
    <w:rsid w:val="6C2637C1"/>
    <w:rsid w:val="6C3A15EC"/>
    <w:rsid w:val="6C3A4F06"/>
    <w:rsid w:val="6C4B7A66"/>
    <w:rsid w:val="6C4C03E7"/>
    <w:rsid w:val="6C5922D4"/>
    <w:rsid w:val="6C595A56"/>
    <w:rsid w:val="6C637488"/>
    <w:rsid w:val="6C6677E4"/>
    <w:rsid w:val="6C69019E"/>
    <w:rsid w:val="6C6F1C7B"/>
    <w:rsid w:val="6C76001F"/>
    <w:rsid w:val="6C79122E"/>
    <w:rsid w:val="6C801126"/>
    <w:rsid w:val="6C8860D3"/>
    <w:rsid w:val="6C8B7274"/>
    <w:rsid w:val="6C944E4F"/>
    <w:rsid w:val="6C993889"/>
    <w:rsid w:val="6C997F1C"/>
    <w:rsid w:val="6CA12DC9"/>
    <w:rsid w:val="6CA866B5"/>
    <w:rsid w:val="6CA9718A"/>
    <w:rsid w:val="6CAA2BB4"/>
    <w:rsid w:val="6CAB1389"/>
    <w:rsid w:val="6CAC7570"/>
    <w:rsid w:val="6CAE3BBE"/>
    <w:rsid w:val="6CB72869"/>
    <w:rsid w:val="6CBC6A38"/>
    <w:rsid w:val="6CC13D1E"/>
    <w:rsid w:val="6CC43C16"/>
    <w:rsid w:val="6CC44C9D"/>
    <w:rsid w:val="6CC55208"/>
    <w:rsid w:val="6CC608DD"/>
    <w:rsid w:val="6CCC26AF"/>
    <w:rsid w:val="6CCF02F2"/>
    <w:rsid w:val="6CD662BC"/>
    <w:rsid w:val="6CD76E27"/>
    <w:rsid w:val="6CE24DB0"/>
    <w:rsid w:val="6CE3414D"/>
    <w:rsid w:val="6CEE0D80"/>
    <w:rsid w:val="6CF335B7"/>
    <w:rsid w:val="6CFF0F1C"/>
    <w:rsid w:val="6D084F14"/>
    <w:rsid w:val="6D0B2735"/>
    <w:rsid w:val="6D115B1E"/>
    <w:rsid w:val="6D171EAA"/>
    <w:rsid w:val="6D172BEF"/>
    <w:rsid w:val="6D1B5CC2"/>
    <w:rsid w:val="6D1D31F4"/>
    <w:rsid w:val="6D1E0BE9"/>
    <w:rsid w:val="6D1F1214"/>
    <w:rsid w:val="6D222D57"/>
    <w:rsid w:val="6D294634"/>
    <w:rsid w:val="6D2B32FF"/>
    <w:rsid w:val="6D2D5923"/>
    <w:rsid w:val="6D313EDD"/>
    <w:rsid w:val="6D32482D"/>
    <w:rsid w:val="6D3369EA"/>
    <w:rsid w:val="6D343B5D"/>
    <w:rsid w:val="6D3D42D5"/>
    <w:rsid w:val="6D3F0986"/>
    <w:rsid w:val="6D410D52"/>
    <w:rsid w:val="6D413483"/>
    <w:rsid w:val="6D480064"/>
    <w:rsid w:val="6D486D2D"/>
    <w:rsid w:val="6D491728"/>
    <w:rsid w:val="6D4A65F4"/>
    <w:rsid w:val="6D4C4C2C"/>
    <w:rsid w:val="6D57626D"/>
    <w:rsid w:val="6D595C59"/>
    <w:rsid w:val="6D663E0B"/>
    <w:rsid w:val="6D674A3B"/>
    <w:rsid w:val="6D6C42DE"/>
    <w:rsid w:val="6D70446B"/>
    <w:rsid w:val="6D7A1C93"/>
    <w:rsid w:val="6D837B38"/>
    <w:rsid w:val="6D840C3E"/>
    <w:rsid w:val="6D857F09"/>
    <w:rsid w:val="6D913949"/>
    <w:rsid w:val="6D91535F"/>
    <w:rsid w:val="6D915C64"/>
    <w:rsid w:val="6D993BA1"/>
    <w:rsid w:val="6D9A6CCE"/>
    <w:rsid w:val="6DA66FDF"/>
    <w:rsid w:val="6DA7211F"/>
    <w:rsid w:val="6DAD3181"/>
    <w:rsid w:val="6DAE28FA"/>
    <w:rsid w:val="6DB0303C"/>
    <w:rsid w:val="6DB522CF"/>
    <w:rsid w:val="6DBD1B75"/>
    <w:rsid w:val="6DC53D25"/>
    <w:rsid w:val="6DC72BAB"/>
    <w:rsid w:val="6DCE5F9A"/>
    <w:rsid w:val="6DCF437E"/>
    <w:rsid w:val="6DCF63B5"/>
    <w:rsid w:val="6DD0768F"/>
    <w:rsid w:val="6DD210B0"/>
    <w:rsid w:val="6DDF4FAD"/>
    <w:rsid w:val="6DE00E4D"/>
    <w:rsid w:val="6DE37F98"/>
    <w:rsid w:val="6DE50222"/>
    <w:rsid w:val="6DE8242F"/>
    <w:rsid w:val="6DE922F5"/>
    <w:rsid w:val="6DE946E5"/>
    <w:rsid w:val="6DEA0A8A"/>
    <w:rsid w:val="6DEB0DF7"/>
    <w:rsid w:val="6DEB2066"/>
    <w:rsid w:val="6DEC00B9"/>
    <w:rsid w:val="6DED3E0D"/>
    <w:rsid w:val="6DF35DD6"/>
    <w:rsid w:val="6E043CFA"/>
    <w:rsid w:val="6E0A4268"/>
    <w:rsid w:val="6E0E296A"/>
    <w:rsid w:val="6E1164A3"/>
    <w:rsid w:val="6E116D5A"/>
    <w:rsid w:val="6E126C31"/>
    <w:rsid w:val="6E200CBB"/>
    <w:rsid w:val="6E22694B"/>
    <w:rsid w:val="6E2312CE"/>
    <w:rsid w:val="6E2C1D04"/>
    <w:rsid w:val="6E2D50B7"/>
    <w:rsid w:val="6E346FB1"/>
    <w:rsid w:val="6E365D8E"/>
    <w:rsid w:val="6E3A5D19"/>
    <w:rsid w:val="6E464E5E"/>
    <w:rsid w:val="6E491FD3"/>
    <w:rsid w:val="6E4A22C1"/>
    <w:rsid w:val="6E4B33DC"/>
    <w:rsid w:val="6E57417A"/>
    <w:rsid w:val="6E5755FC"/>
    <w:rsid w:val="6E58428E"/>
    <w:rsid w:val="6E5A07D4"/>
    <w:rsid w:val="6E62568E"/>
    <w:rsid w:val="6E625D66"/>
    <w:rsid w:val="6E652749"/>
    <w:rsid w:val="6E673FF6"/>
    <w:rsid w:val="6E6C61F4"/>
    <w:rsid w:val="6E726290"/>
    <w:rsid w:val="6E7D1DB1"/>
    <w:rsid w:val="6E7F693B"/>
    <w:rsid w:val="6E855656"/>
    <w:rsid w:val="6E8907C6"/>
    <w:rsid w:val="6E961A68"/>
    <w:rsid w:val="6E965CA8"/>
    <w:rsid w:val="6E9A2D67"/>
    <w:rsid w:val="6EA17168"/>
    <w:rsid w:val="6EAC2EDE"/>
    <w:rsid w:val="6EAF4955"/>
    <w:rsid w:val="6EB0527F"/>
    <w:rsid w:val="6EB475A6"/>
    <w:rsid w:val="6EB958C1"/>
    <w:rsid w:val="6EBE4D60"/>
    <w:rsid w:val="6EBF692B"/>
    <w:rsid w:val="6EC67244"/>
    <w:rsid w:val="6EE17CE5"/>
    <w:rsid w:val="6EE76CF8"/>
    <w:rsid w:val="6EE852A5"/>
    <w:rsid w:val="6EF21A0D"/>
    <w:rsid w:val="6EF47065"/>
    <w:rsid w:val="6F0326DC"/>
    <w:rsid w:val="6F057187"/>
    <w:rsid w:val="6F0C3E4D"/>
    <w:rsid w:val="6F12422C"/>
    <w:rsid w:val="6F173018"/>
    <w:rsid w:val="6F175C82"/>
    <w:rsid w:val="6F1927AA"/>
    <w:rsid w:val="6F202C72"/>
    <w:rsid w:val="6F216FF6"/>
    <w:rsid w:val="6F281CFA"/>
    <w:rsid w:val="6F2A6B28"/>
    <w:rsid w:val="6F545E9F"/>
    <w:rsid w:val="6F5F1776"/>
    <w:rsid w:val="6F614BB8"/>
    <w:rsid w:val="6F656670"/>
    <w:rsid w:val="6F666E97"/>
    <w:rsid w:val="6F683283"/>
    <w:rsid w:val="6F6E5EAC"/>
    <w:rsid w:val="6F71345F"/>
    <w:rsid w:val="6F742EA8"/>
    <w:rsid w:val="6F8338C6"/>
    <w:rsid w:val="6F841A17"/>
    <w:rsid w:val="6F863CF9"/>
    <w:rsid w:val="6F9167E6"/>
    <w:rsid w:val="6F9A2863"/>
    <w:rsid w:val="6F9D198E"/>
    <w:rsid w:val="6FAC0EBB"/>
    <w:rsid w:val="6FAE166B"/>
    <w:rsid w:val="6FB13072"/>
    <w:rsid w:val="6FB22D40"/>
    <w:rsid w:val="6FBA5EFC"/>
    <w:rsid w:val="6FBB48B5"/>
    <w:rsid w:val="6FBD1982"/>
    <w:rsid w:val="6FC91DC2"/>
    <w:rsid w:val="6FCC7D91"/>
    <w:rsid w:val="6FCE2DC1"/>
    <w:rsid w:val="6FCE36ED"/>
    <w:rsid w:val="6FCF0FA9"/>
    <w:rsid w:val="6FD04BC2"/>
    <w:rsid w:val="6FD21F43"/>
    <w:rsid w:val="6FD46E79"/>
    <w:rsid w:val="6FE11E1A"/>
    <w:rsid w:val="6FE950C1"/>
    <w:rsid w:val="6FF034C6"/>
    <w:rsid w:val="6FF36163"/>
    <w:rsid w:val="6FF62C2D"/>
    <w:rsid w:val="6FFBB593"/>
    <w:rsid w:val="6FFD4291"/>
    <w:rsid w:val="700042B2"/>
    <w:rsid w:val="70007918"/>
    <w:rsid w:val="700531D2"/>
    <w:rsid w:val="700854F7"/>
    <w:rsid w:val="70104277"/>
    <w:rsid w:val="701107B2"/>
    <w:rsid w:val="7011104D"/>
    <w:rsid w:val="70161A53"/>
    <w:rsid w:val="701658FF"/>
    <w:rsid w:val="70166E14"/>
    <w:rsid w:val="7019772C"/>
    <w:rsid w:val="70197E19"/>
    <w:rsid w:val="701F3D85"/>
    <w:rsid w:val="7025038E"/>
    <w:rsid w:val="70270997"/>
    <w:rsid w:val="702916E7"/>
    <w:rsid w:val="702C6661"/>
    <w:rsid w:val="70354037"/>
    <w:rsid w:val="703558BA"/>
    <w:rsid w:val="703B3AC8"/>
    <w:rsid w:val="704B6E88"/>
    <w:rsid w:val="705225DF"/>
    <w:rsid w:val="70542AA0"/>
    <w:rsid w:val="70571D17"/>
    <w:rsid w:val="705F5A58"/>
    <w:rsid w:val="7069648A"/>
    <w:rsid w:val="70731F45"/>
    <w:rsid w:val="70740639"/>
    <w:rsid w:val="7075590D"/>
    <w:rsid w:val="70772D5D"/>
    <w:rsid w:val="707A1A31"/>
    <w:rsid w:val="707A76A4"/>
    <w:rsid w:val="709B30F6"/>
    <w:rsid w:val="709D1AD8"/>
    <w:rsid w:val="70A50763"/>
    <w:rsid w:val="70A87272"/>
    <w:rsid w:val="70AA7D24"/>
    <w:rsid w:val="70AD439E"/>
    <w:rsid w:val="70AD7EE2"/>
    <w:rsid w:val="70B34AEC"/>
    <w:rsid w:val="70B452D2"/>
    <w:rsid w:val="70C00EF4"/>
    <w:rsid w:val="70C63DBB"/>
    <w:rsid w:val="70D43AEB"/>
    <w:rsid w:val="70D44130"/>
    <w:rsid w:val="70DC5809"/>
    <w:rsid w:val="70E016D7"/>
    <w:rsid w:val="70E27BBF"/>
    <w:rsid w:val="70EB550A"/>
    <w:rsid w:val="70ED461C"/>
    <w:rsid w:val="70F44A90"/>
    <w:rsid w:val="70F455FE"/>
    <w:rsid w:val="70F80B55"/>
    <w:rsid w:val="70FA65F8"/>
    <w:rsid w:val="70FF4AC7"/>
    <w:rsid w:val="71020B48"/>
    <w:rsid w:val="710A0DE2"/>
    <w:rsid w:val="710B07DE"/>
    <w:rsid w:val="711469BB"/>
    <w:rsid w:val="711469E4"/>
    <w:rsid w:val="71173F64"/>
    <w:rsid w:val="711A160F"/>
    <w:rsid w:val="711B3E3B"/>
    <w:rsid w:val="712511BE"/>
    <w:rsid w:val="7125350F"/>
    <w:rsid w:val="712773E1"/>
    <w:rsid w:val="713759CB"/>
    <w:rsid w:val="713B2128"/>
    <w:rsid w:val="71496D7F"/>
    <w:rsid w:val="714A29E9"/>
    <w:rsid w:val="714A5E25"/>
    <w:rsid w:val="714F55AD"/>
    <w:rsid w:val="714F726B"/>
    <w:rsid w:val="71501089"/>
    <w:rsid w:val="71622482"/>
    <w:rsid w:val="7167580D"/>
    <w:rsid w:val="716A59DC"/>
    <w:rsid w:val="716F2026"/>
    <w:rsid w:val="717163DF"/>
    <w:rsid w:val="717D1ECA"/>
    <w:rsid w:val="717D6077"/>
    <w:rsid w:val="71846644"/>
    <w:rsid w:val="71851EC8"/>
    <w:rsid w:val="71876BD0"/>
    <w:rsid w:val="718B264D"/>
    <w:rsid w:val="718F32E6"/>
    <w:rsid w:val="71972E7D"/>
    <w:rsid w:val="719735CA"/>
    <w:rsid w:val="719F4023"/>
    <w:rsid w:val="71A00BC9"/>
    <w:rsid w:val="71B057D4"/>
    <w:rsid w:val="71B07213"/>
    <w:rsid w:val="71C04CE0"/>
    <w:rsid w:val="71C22249"/>
    <w:rsid w:val="71D77386"/>
    <w:rsid w:val="71DA059A"/>
    <w:rsid w:val="71DA07A7"/>
    <w:rsid w:val="71EF5CFC"/>
    <w:rsid w:val="71EF7352"/>
    <w:rsid w:val="71F578A9"/>
    <w:rsid w:val="72115B8C"/>
    <w:rsid w:val="72143B40"/>
    <w:rsid w:val="721457AD"/>
    <w:rsid w:val="721919FC"/>
    <w:rsid w:val="721A603D"/>
    <w:rsid w:val="721B75E4"/>
    <w:rsid w:val="72222813"/>
    <w:rsid w:val="72225CFE"/>
    <w:rsid w:val="7223645F"/>
    <w:rsid w:val="72247F25"/>
    <w:rsid w:val="72277813"/>
    <w:rsid w:val="72333679"/>
    <w:rsid w:val="723A61C5"/>
    <w:rsid w:val="723C4680"/>
    <w:rsid w:val="723D034A"/>
    <w:rsid w:val="7240591C"/>
    <w:rsid w:val="7241373F"/>
    <w:rsid w:val="724518CA"/>
    <w:rsid w:val="724D630F"/>
    <w:rsid w:val="72575031"/>
    <w:rsid w:val="72601E7D"/>
    <w:rsid w:val="72630663"/>
    <w:rsid w:val="72764159"/>
    <w:rsid w:val="72776092"/>
    <w:rsid w:val="72837D59"/>
    <w:rsid w:val="72903E32"/>
    <w:rsid w:val="729923D3"/>
    <w:rsid w:val="72995D33"/>
    <w:rsid w:val="72A226DC"/>
    <w:rsid w:val="72A35F21"/>
    <w:rsid w:val="72A903F3"/>
    <w:rsid w:val="72AA67F1"/>
    <w:rsid w:val="72B0164D"/>
    <w:rsid w:val="72B07A2D"/>
    <w:rsid w:val="72BA7B91"/>
    <w:rsid w:val="72BA7E3C"/>
    <w:rsid w:val="72C13ABE"/>
    <w:rsid w:val="72CA43EF"/>
    <w:rsid w:val="72CA546B"/>
    <w:rsid w:val="72CB43A5"/>
    <w:rsid w:val="72D56B47"/>
    <w:rsid w:val="72D8024D"/>
    <w:rsid w:val="72DA63FB"/>
    <w:rsid w:val="72F102CC"/>
    <w:rsid w:val="72FA139A"/>
    <w:rsid w:val="72FC4614"/>
    <w:rsid w:val="72FC57E9"/>
    <w:rsid w:val="72FD1400"/>
    <w:rsid w:val="72FD2D7A"/>
    <w:rsid w:val="72FD7A30"/>
    <w:rsid w:val="73013C09"/>
    <w:rsid w:val="73030A17"/>
    <w:rsid w:val="730B28AF"/>
    <w:rsid w:val="730C5442"/>
    <w:rsid w:val="731264CA"/>
    <w:rsid w:val="73143209"/>
    <w:rsid w:val="73183ECE"/>
    <w:rsid w:val="731B193E"/>
    <w:rsid w:val="732E28B3"/>
    <w:rsid w:val="73317102"/>
    <w:rsid w:val="733A5FF3"/>
    <w:rsid w:val="733E676B"/>
    <w:rsid w:val="733F57B5"/>
    <w:rsid w:val="73462FC2"/>
    <w:rsid w:val="734F62E1"/>
    <w:rsid w:val="7350378D"/>
    <w:rsid w:val="735120BB"/>
    <w:rsid w:val="73551D87"/>
    <w:rsid w:val="735762D1"/>
    <w:rsid w:val="73580EAD"/>
    <w:rsid w:val="735C2EC7"/>
    <w:rsid w:val="735F6D6E"/>
    <w:rsid w:val="73600457"/>
    <w:rsid w:val="736143E4"/>
    <w:rsid w:val="73722206"/>
    <w:rsid w:val="73795980"/>
    <w:rsid w:val="737F0BD3"/>
    <w:rsid w:val="73801C89"/>
    <w:rsid w:val="738109C5"/>
    <w:rsid w:val="73886B57"/>
    <w:rsid w:val="738B082F"/>
    <w:rsid w:val="738E2BF0"/>
    <w:rsid w:val="738E7500"/>
    <w:rsid w:val="73922DDF"/>
    <w:rsid w:val="7398449D"/>
    <w:rsid w:val="73997EC0"/>
    <w:rsid w:val="739A1F55"/>
    <w:rsid w:val="739F6652"/>
    <w:rsid w:val="73A62E43"/>
    <w:rsid w:val="73A7132D"/>
    <w:rsid w:val="73AA50EB"/>
    <w:rsid w:val="73B24A00"/>
    <w:rsid w:val="73B31693"/>
    <w:rsid w:val="73BD36C4"/>
    <w:rsid w:val="73CE776B"/>
    <w:rsid w:val="73D227AB"/>
    <w:rsid w:val="73D76E81"/>
    <w:rsid w:val="73D816E7"/>
    <w:rsid w:val="73DE78E8"/>
    <w:rsid w:val="73E36BB1"/>
    <w:rsid w:val="73E36BFA"/>
    <w:rsid w:val="73F50293"/>
    <w:rsid w:val="73FA397C"/>
    <w:rsid w:val="73FB79BC"/>
    <w:rsid w:val="74016054"/>
    <w:rsid w:val="74091032"/>
    <w:rsid w:val="740E06B7"/>
    <w:rsid w:val="74103CB7"/>
    <w:rsid w:val="74112ABC"/>
    <w:rsid w:val="74151311"/>
    <w:rsid w:val="74176AF5"/>
    <w:rsid w:val="74184AE2"/>
    <w:rsid w:val="741F3F1C"/>
    <w:rsid w:val="742069C0"/>
    <w:rsid w:val="74232E8C"/>
    <w:rsid w:val="74303A42"/>
    <w:rsid w:val="743453B3"/>
    <w:rsid w:val="744456E4"/>
    <w:rsid w:val="74465322"/>
    <w:rsid w:val="744E5F78"/>
    <w:rsid w:val="745712D2"/>
    <w:rsid w:val="745F0A52"/>
    <w:rsid w:val="74651404"/>
    <w:rsid w:val="74692521"/>
    <w:rsid w:val="746C76F7"/>
    <w:rsid w:val="747117BE"/>
    <w:rsid w:val="747263A6"/>
    <w:rsid w:val="747A48B8"/>
    <w:rsid w:val="748005F2"/>
    <w:rsid w:val="7484756F"/>
    <w:rsid w:val="74891345"/>
    <w:rsid w:val="748A27BC"/>
    <w:rsid w:val="74932A5A"/>
    <w:rsid w:val="74952294"/>
    <w:rsid w:val="749A6D6B"/>
    <w:rsid w:val="749E02B5"/>
    <w:rsid w:val="749E3C23"/>
    <w:rsid w:val="74A105AF"/>
    <w:rsid w:val="74A66B4A"/>
    <w:rsid w:val="74B0085A"/>
    <w:rsid w:val="74B31C46"/>
    <w:rsid w:val="74B47B6C"/>
    <w:rsid w:val="74B60058"/>
    <w:rsid w:val="74B628C7"/>
    <w:rsid w:val="74B97F51"/>
    <w:rsid w:val="74BE6E8A"/>
    <w:rsid w:val="74C205D5"/>
    <w:rsid w:val="74C7741A"/>
    <w:rsid w:val="74CB0A99"/>
    <w:rsid w:val="74D047F7"/>
    <w:rsid w:val="74D17216"/>
    <w:rsid w:val="74D75441"/>
    <w:rsid w:val="74D83939"/>
    <w:rsid w:val="74DF799E"/>
    <w:rsid w:val="74E31F46"/>
    <w:rsid w:val="74E3385F"/>
    <w:rsid w:val="74E41078"/>
    <w:rsid w:val="74E455B1"/>
    <w:rsid w:val="74E95E80"/>
    <w:rsid w:val="74EE79A1"/>
    <w:rsid w:val="74FA6931"/>
    <w:rsid w:val="74FB343C"/>
    <w:rsid w:val="74FB6A46"/>
    <w:rsid w:val="74FD2437"/>
    <w:rsid w:val="74FF4534"/>
    <w:rsid w:val="750304E0"/>
    <w:rsid w:val="751524A3"/>
    <w:rsid w:val="751714A0"/>
    <w:rsid w:val="751D2AE9"/>
    <w:rsid w:val="751F285A"/>
    <w:rsid w:val="751F3F0C"/>
    <w:rsid w:val="752A0A96"/>
    <w:rsid w:val="752E2858"/>
    <w:rsid w:val="752F0A9E"/>
    <w:rsid w:val="753142AA"/>
    <w:rsid w:val="753760C7"/>
    <w:rsid w:val="75411B18"/>
    <w:rsid w:val="754C4B1F"/>
    <w:rsid w:val="754F16DD"/>
    <w:rsid w:val="755045C8"/>
    <w:rsid w:val="7551063B"/>
    <w:rsid w:val="75523F35"/>
    <w:rsid w:val="755E2EA2"/>
    <w:rsid w:val="75606380"/>
    <w:rsid w:val="75611CB1"/>
    <w:rsid w:val="7567224D"/>
    <w:rsid w:val="75784A83"/>
    <w:rsid w:val="757E1FC7"/>
    <w:rsid w:val="75865C13"/>
    <w:rsid w:val="758757D2"/>
    <w:rsid w:val="758A2B51"/>
    <w:rsid w:val="758A40E8"/>
    <w:rsid w:val="758D4766"/>
    <w:rsid w:val="758E60DA"/>
    <w:rsid w:val="7599561C"/>
    <w:rsid w:val="759A6FD3"/>
    <w:rsid w:val="759B403F"/>
    <w:rsid w:val="759B5378"/>
    <w:rsid w:val="75A32A3A"/>
    <w:rsid w:val="75A66481"/>
    <w:rsid w:val="75B4336E"/>
    <w:rsid w:val="75B50C6A"/>
    <w:rsid w:val="75C01A96"/>
    <w:rsid w:val="75C0762C"/>
    <w:rsid w:val="75C3161B"/>
    <w:rsid w:val="75C5090B"/>
    <w:rsid w:val="75D37EC1"/>
    <w:rsid w:val="75D41F3C"/>
    <w:rsid w:val="75DD5E1F"/>
    <w:rsid w:val="75E44874"/>
    <w:rsid w:val="75E44BC7"/>
    <w:rsid w:val="75ED4F3D"/>
    <w:rsid w:val="75EF6FE5"/>
    <w:rsid w:val="75F04EF6"/>
    <w:rsid w:val="75FA0018"/>
    <w:rsid w:val="76000092"/>
    <w:rsid w:val="760342F6"/>
    <w:rsid w:val="76056083"/>
    <w:rsid w:val="76152C69"/>
    <w:rsid w:val="76232AC5"/>
    <w:rsid w:val="762C7DE7"/>
    <w:rsid w:val="763A2084"/>
    <w:rsid w:val="763C5B23"/>
    <w:rsid w:val="764A74D2"/>
    <w:rsid w:val="765412E1"/>
    <w:rsid w:val="765B74FD"/>
    <w:rsid w:val="76621916"/>
    <w:rsid w:val="766240BE"/>
    <w:rsid w:val="76657135"/>
    <w:rsid w:val="76691A40"/>
    <w:rsid w:val="766B298C"/>
    <w:rsid w:val="766D572C"/>
    <w:rsid w:val="767701A9"/>
    <w:rsid w:val="767751FD"/>
    <w:rsid w:val="76787BCB"/>
    <w:rsid w:val="767C70CD"/>
    <w:rsid w:val="76802E63"/>
    <w:rsid w:val="76814D10"/>
    <w:rsid w:val="76867D88"/>
    <w:rsid w:val="768B1179"/>
    <w:rsid w:val="769E1418"/>
    <w:rsid w:val="769F052D"/>
    <w:rsid w:val="769F2E3C"/>
    <w:rsid w:val="76A03A51"/>
    <w:rsid w:val="76A11BE2"/>
    <w:rsid w:val="76A21419"/>
    <w:rsid w:val="76A65280"/>
    <w:rsid w:val="76A818DA"/>
    <w:rsid w:val="76A864D7"/>
    <w:rsid w:val="76AC798B"/>
    <w:rsid w:val="76B22B46"/>
    <w:rsid w:val="76B86321"/>
    <w:rsid w:val="76BB2C21"/>
    <w:rsid w:val="76C21D5F"/>
    <w:rsid w:val="76C53B1E"/>
    <w:rsid w:val="76CB48C3"/>
    <w:rsid w:val="76D42C2B"/>
    <w:rsid w:val="76E14C90"/>
    <w:rsid w:val="76E42469"/>
    <w:rsid w:val="76EE180A"/>
    <w:rsid w:val="76F06602"/>
    <w:rsid w:val="76F36A8F"/>
    <w:rsid w:val="76F85163"/>
    <w:rsid w:val="76FB29DB"/>
    <w:rsid w:val="76FD58A0"/>
    <w:rsid w:val="770A1ED3"/>
    <w:rsid w:val="770A7DD0"/>
    <w:rsid w:val="770D7DAB"/>
    <w:rsid w:val="77136161"/>
    <w:rsid w:val="77187E65"/>
    <w:rsid w:val="77281211"/>
    <w:rsid w:val="772C302B"/>
    <w:rsid w:val="772C78F2"/>
    <w:rsid w:val="773A28C0"/>
    <w:rsid w:val="773B2DC0"/>
    <w:rsid w:val="77443208"/>
    <w:rsid w:val="77486746"/>
    <w:rsid w:val="77575BCD"/>
    <w:rsid w:val="775848A7"/>
    <w:rsid w:val="77630B3D"/>
    <w:rsid w:val="77683A41"/>
    <w:rsid w:val="776A5F7C"/>
    <w:rsid w:val="776B7241"/>
    <w:rsid w:val="7770696A"/>
    <w:rsid w:val="77754422"/>
    <w:rsid w:val="77797D26"/>
    <w:rsid w:val="777D738B"/>
    <w:rsid w:val="778071F1"/>
    <w:rsid w:val="778475C8"/>
    <w:rsid w:val="77942EA8"/>
    <w:rsid w:val="77975433"/>
    <w:rsid w:val="7798720B"/>
    <w:rsid w:val="779A0736"/>
    <w:rsid w:val="779F72CF"/>
    <w:rsid w:val="77A245DC"/>
    <w:rsid w:val="77A70AEE"/>
    <w:rsid w:val="77A73A2F"/>
    <w:rsid w:val="77A7673B"/>
    <w:rsid w:val="77AE5498"/>
    <w:rsid w:val="77B07E1C"/>
    <w:rsid w:val="77B67728"/>
    <w:rsid w:val="77C42814"/>
    <w:rsid w:val="77C5560F"/>
    <w:rsid w:val="77C57650"/>
    <w:rsid w:val="77D201AD"/>
    <w:rsid w:val="77D34917"/>
    <w:rsid w:val="77D436FC"/>
    <w:rsid w:val="77D7719B"/>
    <w:rsid w:val="77D81BEA"/>
    <w:rsid w:val="77DA0078"/>
    <w:rsid w:val="77DB1F23"/>
    <w:rsid w:val="77DF353A"/>
    <w:rsid w:val="77E04044"/>
    <w:rsid w:val="77E12B65"/>
    <w:rsid w:val="77E757C4"/>
    <w:rsid w:val="77F740DB"/>
    <w:rsid w:val="77F83952"/>
    <w:rsid w:val="77FA1748"/>
    <w:rsid w:val="77FF1DC4"/>
    <w:rsid w:val="77FF3937"/>
    <w:rsid w:val="78033142"/>
    <w:rsid w:val="780A0C3A"/>
    <w:rsid w:val="78107DD1"/>
    <w:rsid w:val="78144758"/>
    <w:rsid w:val="78171A41"/>
    <w:rsid w:val="781F11A1"/>
    <w:rsid w:val="78216EB4"/>
    <w:rsid w:val="7825283C"/>
    <w:rsid w:val="78257CAC"/>
    <w:rsid w:val="7828030D"/>
    <w:rsid w:val="782A0CD9"/>
    <w:rsid w:val="782D626D"/>
    <w:rsid w:val="783443EA"/>
    <w:rsid w:val="78374DBC"/>
    <w:rsid w:val="783A59D2"/>
    <w:rsid w:val="78415831"/>
    <w:rsid w:val="78415B85"/>
    <w:rsid w:val="78460996"/>
    <w:rsid w:val="78461C3D"/>
    <w:rsid w:val="78482643"/>
    <w:rsid w:val="784B0B63"/>
    <w:rsid w:val="784D1555"/>
    <w:rsid w:val="784D6D47"/>
    <w:rsid w:val="785957D8"/>
    <w:rsid w:val="78607170"/>
    <w:rsid w:val="786A2B84"/>
    <w:rsid w:val="786B6983"/>
    <w:rsid w:val="786E087E"/>
    <w:rsid w:val="786F4059"/>
    <w:rsid w:val="78715DD8"/>
    <w:rsid w:val="787211A9"/>
    <w:rsid w:val="78745641"/>
    <w:rsid w:val="787D5AE4"/>
    <w:rsid w:val="787F3E6B"/>
    <w:rsid w:val="7880612E"/>
    <w:rsid w:val="78825890"/>
    <w:rsid w:val="788433CD"/>
    <w:rsid w:val="78883C5B"/>
    <w:rsid w:val="788D20B9"/>
    <w:rsid w:val="78904F97"/>
    <w:rsid w:val="78922615"/>
    <w:rsid w:val="78923389"/>
    <w:rsid w:val="78926937"/>
    <w:rsid w:val="78936BC0"/>
    <w:rsid w:val="78966993"/>
    <w:rsid w:val="7897441B"/>
    <w:rsid w:val="789965C4"/>
    <w:rsid w:val="789E3073"/>
    <w:rsid w:val="789F5E6D"/>
    <w:rsid w:val="78B3127B"/>
    <w:rsid w:val="78B75616"/>
    <w:rsid w:val="78BC11C3"/>
    <w:rsid w:val="78C06AA8"/>
    <w:rsid w:val="78DA0B2A"/>
    <w:rsid w:val="78E35AE0"/>
    <w:rsid w:val="78E36F3C"/>
    <w:rsid w:val="78E376E0"/>
    <w:rsid w:val="78E71BE4"/>
    <w:rsid w:val="78ED4514"/>
    <w:rsid w:val="78F54A16"/>
    <w:rsid w:val="78F9692B"/>
    <w:rsid w:val="78FC7A3C"/>
    <w:rsid w:val="78FD1037"/>
    <w:rsid w:val="78FF53B7"/>
    <w:rsid w:val="7905111E"/>
    <w:rsid w:val="790E31BD"/>
    <w:rsid w:val="791049C0"/>
    <w:rsid w:val="791660EE"/>
    <w:rsid w:val="79177748"/>
    <w:rsid w:val="79205CE8"/>
    <w:rsid w:val="7923281D"/>
    <w:rsid w:val="7925510A"/>
    <w:rsid w:val="792805D8"/>
    <w:rsid w:val="79296918"/>
    <w:rsid w:val="792B311A"/>
    <w:rsid w:val="793F1E1E"/>
    <w:rsid w:val="79402DC3"/>
    <w:rsid w:val="7942130A"/>
    <w:rsid w:val="79451782"/>
    <w:rsid w:val="794F4652"/>
    <w:rsid w:val="79532B4E"/>
    <w:rsid w:val="796E73A7"/>
    <w:rsid w:val="79756BC3"/>
    <w:rsid w:val="79803F13"/>
    <w:rsid w:val="79810292"/>
    <w:rsid w:val="79873467"/>
    <w:rsid w:val="798F71EB"/>
    <w:rsid w:val="79957E5F"/>
    <w:rsid w:val="79966296"/>
    <w:rsid w:val="79984715"/>
    <w:rsid w:val="799853F1"/>
    <w:rsid w:val="799A6D1F"/>
    <w:rsid w:val="799BB823"/>
    <w:rsid w:val="79A93953"/>
    <w:rsid w:val="79AA3F12"/>
    <w:rsid w:val="79AF65AC"/>
    <w:rsid w:val="79B144F6"/>
    <w:rsid w:val="79B31885"/>
    <w:rsid w:val="79BA2C8A"/>
    <w:rsid w:val="79C45377"/>
    <w:rsid w:val="79CD5DDA"/>
    <w:rsid w:val="79D05EC0"/>
    <w:rsid w:val="79DA67FC"/>
    <w:rsid w:val="79DB1B65"/>
    <w:rsid w:val="79DF63EA"/>
    <w:rsid w:val="79E208AF"/>
    <w:rsid w:val="7A05092E"/>
    <w:rsid w:val="7A050F83"/>
    <w:rsid w:val="7A0A5E0A"/>
    <w:rsid w:val="7A0A67F6"/>
    <w:rsid w:val="7A0B51CA"/>
    <w:rsid w:val="7A0E7FAF"/>
    <w:rsid w:val="7A1624C0"/>
    <w:rsid w:val="7A225657"/>
    <w:rsid w:val="7A241A93"/>
    <w:rsid w:val="7A3D2A06"/>
    <w:rsid w:val="7A454B95"/>
    <w:rsid w:val="7A496EC5"/>
    <w:rsid w:val="7A4D3012"/>
    <w:rsid w:val="7A523FA9"/>
    <w:rsid w:val="7A5A70DD"/>
    <w:rsid w:val="7A670B20"/>
    <w:rsid w:val="7A711486"/>
    <w:rsid w:val="7A720AE0"/>
    <w:rsid w:val="7A74460C"/>
    <w:rsid w:val="7A7B0E48"/>
    <w:rsid w:val="7A807213"/>
    <w:rsid w:val="7A82213B"/>
    <w:rsid w:val="7A85745D"/>
    <w:rsid w:val="7A8652CF"/>
    <w:rsid w:val="7A8B2272"/>
    <w:rsid w:val="7A8B5282"/>
    <w:rsid w:val="7A932595"/>
    <w:rsid w:val="7A974A80"/>
    <w:rsid w:val="7A9F774F"/>
    <w:rsid w:val="7AA7114B"/>
    <w:rsid w:val="7ABD4619"/>
    <w:rsid w:val="7AC30C25"/>
    <w:rsid w:val="7ACA5714"/>
    <w:rsid w:val="7ACA73F9"/>
    <w:rsid w:val="7ACB04D8"/>
    <w:rsid w:val="7ACF316C"/>
    <w:rsid w:val="7ADC345D"/>
    <w:rsid w:val="7ADF1CD7"/>
    <w:rsid w:val="7AEE1D27"/>
    <w:rsid w:val="7AF17983"/>
    <w:rsid w:val="7AF4405B"/>
    <w:rsid w:val="7AF909AA"/>
    <w:rsid w:val="7AF92529"/>
    <w:rsid w:val="7AFC60D6"/>
    <w:rsid w:val="7B005E15"/>
    <w:rsid w:val="7B014E24"/>
    <w:rsid w:val="7B027FE0"/>
    <w:rsid w:val="7B0439E2"/>
    <w:rsid w:val="7B1504F1"/>
    <w:rsid w:val="7B161407"/>
    <w:rsid w:val="7B17439D"/>
    <w:rsid w:val="7B1D5D96"/>
    <w:rsid w:val="7B235B84"/>
    <w:rsid w:val="7B3471CE"/>
    <w:rsid w:val="7B3769BF"/>
    <w:rsid w:val="7B406624"/>
    <w:rsid w:val="7B440380"/>
    <w:rsid w:val="7B4464CB"/>
    <w:rsid w:val="7B45371D"/>
    <w:rsid w:val="7B4809B0"/>
    <w:rsid w:val="7B495BEC"/>
    <w:rsid w:val="7B546F4C"/>
    <w:rsid w:val="7B646D7F"/>
    <w:rsid w:val="7B667D04"/>
    <w:rsid w:val="7B6E3FBF"/>
    <w:rsid w:val="7B722FCC"/>
    <w:rsid w:val="7B744CA9"/>
    <w:rsid w:val="7B747DD2"/>
    <w:rsid w:val="7B867A09"/>
    <w:rsid w:val="7B897EAB"/>
    <w:rsid w:val="7B8DF3BC"/>
    <w:rsid w:val="7B8E324B"/>
    <w:rsid w:val="7B903024"/>
    <w:rsid w:val="7B9C7A04"/>
    <w:rsid w:val="7B9E56B1"/>
    <w:rsid w:val="7BA76B46"/>
    <w:rsid w:val="7BA952CA"/>
    <w:rsid w:val="7BAD522A"/>
    <w:rsid w:val="7BB0635B"/>
    <w:rsid w:val="7BB128BC"/>
    <w:rsid w:val="7BB3527E"/>
    <w:rsid w:val="7BB86609"/>
    <w:rsid w:val="7BCC650E"/>
    <w:rsid w:val="7BCE2205"/>
    <w:rsid w:val="7BCE672A"/>
    <w:rsid w:val="7BDFD494"/>
    <w:rsid w:val="7BE12F1A"/>
    <w:rsid w:val="7BFA14CF"/>
    <w:rsid w:val="7BFB4974"/>
    <w:rsid w:val="7BFC11E8"/>
    <w:rsid w:val="7BFC385A"/>
    <w:rsid w:val="7C001646"/>
    <w:rsid w:val="7C0031EB"/>
    <w:rsid w:val="7C041DC7"/>
    <w:rsid w:val="7C0610C8"/>
    <w:rsid w:val="7C0F6AC3"/>
    <w:rsid w:val="7C1C756A"/>
    <w:rsid w:val="7C1F2D64"/>
    <w:rsid w:val="7C1F5252"/>
    <w:rsid w:val="7C293C92"/>
    <w:rsid w:val="7C2B1CD6"/>
    <w:rsid w:val="7C2D45F3"/>
    <w:rsid w:val="7C361B05"/>
    <w:rsid w:val="7C361CC5"/>
    <w:rsid w:val="7C392811"/>
    <w:rsid w:val="7C3C31DF"/>
    <w:rsid w:val="7C415D0F"/>
    <w:rsid w:val="7C45215C"/>
    <w:rsid w:val="7C4617C2"/>
    <w:rsid w:val="7C4845DF"/>
    <w:rsid w:val="7C4E37AB"/>
    <w:rsid w:val="7C531AA8"/>
    <w:rsid w:val="7C572C04"/>
    <w:rsid w:val="7C58547D"/>
    <w:rsid w:val="7C5B5646"/>
    <w:rsid w:val="7C5B59BD"/>
    <w:rsid w:val="7C7107CB"/>
    <w:rsid w:val="7C801110"/>
    <w:rsid w:val="7C890492"/>
    <w:rsid w:val="7C8B4BA5"/>
    <w:rsid w:val="7C8F2582"/>
    <w:rsid w:val="7C9056BD"/>
    <w:rsid w:val="7C9217C3"/>
    <w:rsid w:val="7C922CE5"/>
    <w:rsid w:val="7C994C0B"/>
    <w:rsid w:val="7CA47801"/>
    <w:rsid w:val="7CAA6AE3"/>
    <w:rsid w:val="7CAC1E16"/>
    <w:rsid w:val="7CAE2D87"/>
    <w:rsid w:val="7CBB45A6"/>
    <w:rsid w:val="7CBF5048"/>
    <w:rsid w:val="7CC05031"/>
    <w:rsid w:val="7CC26C14"/>
    <w:rsid w:val="7CCC1404"/>
    <w:rsid w:val="7CD02A6F"/>
    <w:rsid w:val="7CD946C0"/>
    <w:rsid w:val="7CDB7D8A"/>
    <w:rsid w:val="7CE80093"/>
    <w:rsid w:val="7D001D52"/>
    <w:rsid w:val="7D0A07BE"/>
    <w:rsid w:val="7D0A1EED"/>
    <w:rsid w:val="7D152071"/>
    <w:rsid w:val="7D165543"/>
    <w:rsid w:val="7D192ECB"/>
    <w:rsid w:val="7D21472A"/>
    <w:rsid w:val="7D2172A0"/>
    <w:rsid w:val="7D370741"/>
    <w:rsid w:val="7D3A0D48"/>
    <w:rsid w:val="7D3C3A06"/>
    <w:rsid w:val="7D426C50"/>
    <w:rsid w:val="7D443A12"/>
    <w:rsid w:val="7D4A2DAD"/>
    <w:rsid w:val="7D4B01F9"/>
    <w:rsid w:val="7D4B0538"/>
    <w:rsid w:val="7D4E42CA"/>
    <w:rsid w:val="7D5B078F"/>
    <w:rsid w:val="7D662206"/>
    <w:rsid w:val="7D697C94"/>
    <w:rsid w:val="7D6D5205"/>
    <w:rsid w:val="7D6F2271"/>
    <w:rsid w:val="7D6F41D7"/>
    <w:rsid w:val="7D717E93"/>
    <w:rsid w:val="7D8E7E7B"/>
    <w:rsid w:val="7D9B7ED1"/>
    <w:rsid w:val="7D9D0802"/>
    <w:rsid w:val="7D9D1548"/>
    <w:rsid w:val="7D9E5217"/>
    <w:rsid w:val="7DA3496A"/>
    <w:rsid w:val="7DAB5403"/>
    <w:rsid w:val="7DAF4873"/>
    <w:rsid w:val="7DB26BBC"/>
    <w:rsid w:val="7DB70E03"/>
    <w:rsid w:val="7DB759C5"/>
    <w:rsid w:val="7DC46A5B"/>
    <w:rsid w:val="7DC81A6D"/>
    <w:rsid w:val="7DCB0BE8"/>
    <w:rsid w:val="7DCD4EB8"/>
    <w:rsid w:val="7DD049A3"/>
    <w:rsid w:val="7DD32B83"/>
    <w:rsid w:val="7DD8407F"/>
    <w:rsid w:val="7DD94904"/>
    <w:rsid w:val="7DD96323"/>
    <w:rsid w:val="7DDC0BF2"/>
    <w:rsid w:val="7DDF4157"/>
    <w:rsid w:val="7DE00060"/>
    <w:rsid w:val="7DE559BA"/>
    <w:rsid w:val="7DE56E2C"/>
    <w:rsid w:val="7DE633C5"/>
    <w:rsid w:val="7DE65410"/>
    <w:rsid w:val="7DE65DC0"/>
    <w:rsid w:val="7DE66823"/>
    <w:rsid w:val="7DEA4251"/>
    <w:rsid w:val="7DEA7D62"/>
    <w:rsid w:val="7DEB1616"/>
    <w:rsid w:val="7DEC1B9F"/>
    <w:rsid w:val="7DFF542F"/>
    <w:rsid w:val="7DFF714F"/>
    <w:rsid w:val="7E0027D5"/>
    <w:rsid w:val="7E02104C"/>
    <w:rsid w:val="7E0730CB"/>
    <w:rsid w:val="7E0775BF"/>
    <w:rsid w:val="7E124A55"/>
    <w:rsid w:val="7E1622F6"/>
    <w:rsid w:val="7E1A2E95"/>
    <w:rsid w:val="7E1D1052"/>
    <w:rsid w:val="7E1F6AB4"/>
    <w:rsid w:val="7E1F72EA"/>
    <w:rsid w:val="7E247152"/>
    <w:rsid w:val="7E2565B8"/>
    <w:rsid w:val="7E2A037C"/>
    <w:rsid w:val="7E2A068E"/>
    <w:rsid w:val="7E442E6E"/>
    <w:rsid w:val="7E4E3EC4"/>
    <w:rsid w:val="7E554C0E"/>
    <w:rsid w:val="7E5741C4"/>
    <w:rsid w:val="7E5A3A10"/>
    <w:rsid w:val="7E624E9D"/>
    <w:rsid w:val="7E6802ED"/>
    <w:rsid w:val="7E712F0B"/>
    <w:rsid w:val="7E7174A2"/>
    <w:rsid w:val="7E78558F"/>
    <w:rsid w:val="7E7C6DBE"/>
    <w:rsid w:val="7E856CFC"/>
    <w:rsid w:val="7E883C88"/>
    <w:rsid w:val="7E893C5A"/>
    <w:rsid w:val="7E8C3E76"/>
    <w:rsid w:val="7E943FC2"/>
    <w:rsid w:val="7E9F7A17"/>
    <w:rsid w:val="7EA20A87"/>
    <w:rsid w:val="7EA978F0"/>
    <w:rsid w:val="7EAE03D6"/>
    <w:rsid w:val="7EAE55FF"/>
    <w:rsid w:val="7EC17E28"/>
    <w:rsid w:val="7EC902EA"/>
    <w:rsid w:val="7EC921A0"/>
    <w:rsid w:val="7ECB08F3"/>
    <w:rsid w:val="7ECC77AE"/>
    <w:rsid w:val="7ECD36F3"/>
    <w:rsid w:val="7ED06744"/>
    <w:rsid w:val="7ED97EB2"/>
    <w:rsid w:val="7EE47C1C"/>
    <w:rsid w:val="7EEB26C5"/>
    <w:rsid w:val="7EEE6E4D"/>
    <w:rsid w:val="7EF57B31"/>
    <w:rsid w:val="7EF7DD38"/>
    <w:rsid w:val="7EFA41BC"/>
    <w:rsid w:val="7EFB19C0"/>
    <w:rsid w:val="7EFB47A1"/>
    <w:rsid w:val="7EFC1B8B"/>
    <w:rsid w:val="7EFD3A97"/>
    <w:rsid w:val="7F00582D"/>
    <w:rsid w:val="7F093A3A"/>
    <w:rsid w:val="7F0F5FFF"/>
    <w:rsid w:val="7F1431AD"/>
    <w:rsid w:val="7F1F6960"/>
    <w:rsid w:val="7F2624EF"/>
    <w:rsid w:val="7F2E3491"/>
    <w:rsid w:val="7F3C255F"/>
    <w:rsid w:val="7F4B7B43"/>
    <w:rsid w:val="7F4E3977"/>
    <w:rsid w:val="7F510ADC"/>
    <w:rsid w:val="7F5C04B0"/>
    <w:rsid w:val="7F687C8A"/>
    <w:rsid w:val="7F6937D3"/>
    <w:rsid w:val="7F6B3593"/>
    <w:rsid w:val="7F781306"/>
    <w:rsid w:val="7F787C08"/>
    <w:rsid w:val="7F7C7177"/>
    <w:rsid w:val="7F863F1F"/>
    <w:rsid w:val="7F865168"/>
    <w:rsid w:val="7F86727F"/>
    <w:rsid w:val="7F904E5A"/>
    <w:rsid w:val="7FA76645"/>
    <w:rsid w:val="7FA9482E"/>
    <w:rsid w:val="7FAB6C87"/>
    <w:rsid w:val="7FAEFF1A"/>
    <w:rsid w:val="7FB640AF"/>
    <w:rsid w:val="7FBE039C"/>
    <w:rsid w:val="7FC62283"/>
    <w:rsid w:val="7FC7599C"/>
    <w:rsid w:val="7FCD1669"/>
    <w:rsid w:val="7FCD325B"/>
    <w:rsid w:val="7FCD343C"/>
    <w:rsid w:val="7FD65538"/>
    <w:rsid w:val="7FE271B0"/>
    <w:rsid w:val="7FE6727B"/>
    <w:rsid w:val="7FE841E1"/>
    <w:rsid w:val="7FEB58B1"/>
    <w:rsid w:val="7FEC3F55"/>
    <w:rsid w:val="7FED66B3"/>
    <w:rsid w:val="7FF749BC"/>
    <w:rsid w:val="7FFA26CE"/>
    <w:rsid w:val="7FFB1356"/>
    <w:rsid w:val="8FB9D0A3"/>
    <w:rsid w:val="ABC63C43"/>
    <w:rsid w:val="AC79651D"/>
    <w:rsid w:val="B7FA12B1"/>
    <w:rsid w:val="B9FBB72F"/>
    <w:rsid w:val="BB1EBFB6"/>
    <w:rsid w:val="BD5E6CB5"/>
    <w:rsid w:val="BEFF163F"/>
    <w:rsid w:val="BEFF357A"/>
    <w:rsid w:val="BFF96CCF"/>
    <w:rsid w:val="CBFD8112"/>
    <w:rsid w:val="D2B72D19"/>
    <w:rsid w:val="DFD30AB7"/>
    <w:rsid w:val="DFFD48ED"/>
    <w:rsid w:val="DFFFEFE3"/>
    <w:rsid w:val="EBFE9A40"/>
    <w:rsid w:val="F157A450"/>
    <w:rsid w:val="F5971EA9"/>
    <w:rsid w:val="F5FB5CCC"/>
    <w:rsid w:val="F5FBB746"/>
    <w:rsid w:val="F60F612D"/>
    <w:rsid w:val="F6BB52D8"/>
    <w:rsid w:val="F757C672"/>
    <w:rsid w:val="F77738F1"/>
    <w:rsid w:val="F79F3761"/>
    <w:rsid w:val="F7D7576B"/>
    <w:rsid w:val="F7F79F38"/>
    <w:rsid w:val="F7FAECE0"/>
    <w:rsid w:val="F96DB505"/>
    <w:rsid w:val="FAFF224F"/>
    <w:rsid w:val="FB35D0CF"/>
    <w:rsid w:val="FBDF5415"/>
    <w:rsid w:val="FC2B22EB"/>
    <w:rsid w:val="FC7F8F33"/>
    <w:rsid w:val="FCF8E20E"/>
    <w:rsid w:val="FD3BCC23"/>
    <w:rsid w:val="FDDF76FD"/>
    <w:rsid w:val="FE3B2767"/>
    <w:rsid w:val="FE5B3D2D"/>
    <w:rsid w:val="FEBF9C0F"/>
    <w:rsid w:val="FEDF8BEC"/>
    <w:rsid w:val="FF7F28B0"/>
    <w:rsid w:val="FF9F964E"/>
    <w:rsid w:val="FFBF9FDD"/>
    <w:rsid w:val="FFBFC03F"/>
    <w:rsid w:val="FFEDDB73"/>
    <w:rsid w:val="FFF618D5"/>
    <w:rsid w:val="FFFEC388"/>
    <w:rsid w:val="FFFF7B6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link w:val="38"/>
    <w:qFormat/>
    <w:uiPriority w:val="99"/>
    <w:pPr>
      <w:keepNext/>
      <w:keepLines/>
      <w:tabs>
        <w:tab w:val="left" w:pos="3970"/>
      </w:tabs>
      <w:spacing w:before="50" w:beforeLines="50" w:line="600" w:lineRule="exact"/>
      <w:ind w:firstLine="880" w:firstLineChars="200"/>
      <w:jc w:val="both"/>
      <w:outlineLvl w:val="0"/>
    </w:pPr>
    <w:rPr>
      <w:rFonts w:eastAsia="黑体"/>
      <w:kern w:val="44"/>
      <w:sz w:val="32"/>
    </w:rPr>
  </w:style>
  <w:style w:type="paragraph" w:styleId="3">
    <w:name w:val="heading 2"/>
    <w:basedOn w:val="1"/>
    <w:next w:val="1"/>
    <w:link w:val="39"/>
    <w:qFormat/>
    <w:uiPriority w:val="99"/>
    <w:pPr>
      <w:keepNext/>
      <w:keepLines/>
      <w:tabs>
        <w:tab w:val="left" w:pos="567"/>
        <w:tab w:val="left" w:pos="3970"/>
      </w:tabs>
      <w:spacing w:line="600" w:lineRule="exact"/>
      <w:ind w:firstLine="200" w:firstLineChars="200"/>
      <w:outlineLvl w:val="1"/>
    </w:pPr>
    <w:rPr>
      <w:rFonts w:eastAsia="楷体"/>
      <w:color w:val="000000"/>
      <w:sz w:val="32"/>
    </w:rPr>
  </w:style>
  <w:style w:type="paragraph" w:styleId="4">
    <w:name w:val="heading 3"/>
    <w:basedOn w:val="1"/>
    <w:next w:val="1"/>
    <w:link w:val="40"/>
    <w:qFormat/>
    <w:uiPriority w:val="0"/>
    <w:pPr>
      <w:keepNext/>
      <w:keepLines/>
      <w:tabs>
        <w:tab w:val="left" w:pos="624"/>
        <w:tab w:val="left" w:pos="3970"/>
      </w:tabs>
      <w:spacing w:line="600" w:lineRule="exact"/>
      <w:ind w:firstLine="200" w:firstLineChars="200"/>
      <w:outlineLvl w:val="2"/>
    </w:pPr>
    <w:rPr>
      <w:rFonts w:eastAsia="仿宋_GB2312"/>
      <w:sz w:val="32"/>
    </w:rPr>
  </w:style>
  <w:style w:type="paragraph" w:styleId="5">
    <w:name w:val="heading 4"/>
    <w:basedOn w:val="1"/>
    <w:next w:val="1"/>
    <w:link w:val="41"/>
    <w:qFormat/>
    <w:uiPriority w:val="0"/>
    <w:pPr>
      <w:keepNext/>
      <w:keepLines/>
      <w:spacing w:before="280" w:after="290" w:line="374" w:lineRule="auto"/>
      <w:outlineLvl w:val="3"/>
    </w:pPr>
    <w:rPr>
      <w:rFonts w:ascii="Arial" w:hAnsi="Arial"/>
      <w:b/>
      <w:sz w:val="28"/>
    </w:rPr>
  </w:style>
  <w:style w:type="paragraph" w:styleId="6">
    <w:name w:val="heading 5"/>
    <w:basedOn w:val="1"/>
    <w:next w:val="1"/>
    <w:link w:val="42"/>
    <w:qFormat/>
    <w:uiPriority w:val="0"/>
    <w:pPr>
      <w:keepNext/>
      <w:keepLines/>
      <w:spacing w:before="280" w:after="290" w:line="374" w:lineRule="auto"/>
      <w:outlineLvl w:val="4"/>
    </w:pPr>
    <w:rPr>
      <w:rFonts w:eastAsia="黑体"/>
    </w:rPr>
  </w:style>
  <w:style w:type="paragraph" w:styleId="7">
    <w:name w:val="heading 6"/>
    <w:basedOn w:val="1"/>
    <w:next w:val="1"/>
    <w:link w:val="43"/>
    <w:qFormat/>
    <w:uiPriority w:val="0"/>
    <w:pPr>
      <w:keepNext/>
      <w:keepLines/>
      <w:spacing w:before="240" w:after="64" w:line="319" w:lineRule="auto"/>
      <w:outlineLvl w:val="5"/>
    </w:pPr>
    <w:rPr>
      <w:rFonts w:ascii="Arial" w:hAnsi="Arial" w:eastAsia="黑体"/>
      <w:b/>
      <w:sz w:val="24"/>
    </w:rPr>
  </w:style>
  <w:style w:type="paragraph" w:styleId="8">
    <w:name w:val="heading 7"/>
    <w:basedOn w:val="1"/>
    <w:next w:val="1"/>
    <w:link w:val="44"/>
    <w:qFormat/>
    <w:uiPriority w:val="0"/>
    <w:pPr>
      <w:keepNext/>
      <w:keepLines/>
      <w:tabs>
        <w:tab w:val="left" w:pos="432"/>
        <w:tab w:val="left" w:pos="1296"/>
      </w:tabs>
      <w:spacing w:before="240" w:after="64" w:line="319" w:lineRule="auto"/>
      <w:ind w:left="1296" w:hanging="1296"/>
      <w:outlineLvl w:val="6"/>
    </w:pPr>
    <w:rPr>
      <w:b/>
      <w:sz w:val="24"/>
    </w:rPr>
  </w:style>
  <w:style w:type="paragraph" w:styleId="9">
    <w:name w:val="heading 8"/>
    <w:basedOn w:val="1"/>
    <w:next w:val="1"/>
    <w:link w:val="45"/>
    <w:qFormat/>
    <w:uiPriority w:val="0"/>
    <w:pPr>
      <w:keepNext/>
      <w:keepLines/>
      <w:spacing w:before="240" w:after="64" w:line="319" w:lineRule="auto"/>
      <w:outlineLvl w:val="7"/>
    </w:pPr>
    <w:rPr>
      <w:rFonts w:ascii="Arial" w:hAnsi="Arial" w:eastAsia="黑体"/>
      <w:sz w:val="24"/>
    </w:rPr>
  </w:style>
  <w:style w:type="paragraph" w:styleId="10">
    <w:name w:val="heading 9"/>
    <w:basedOn w:val="1"/>
    <w:next w:val="1"/>
    <w:link w:val="46"/>
    <w:qFormat/>
    <w:uiPriority w:val="0"/>
    <w:pPr>
      <w:keepNext/>
      <w:keepLines/>
      <w:spacing w:before="240" w:after="64" w:line="319" w:lineRule="auto"/>
      <w:outlineLvl w:val="8"/>
    </w:pPr>
    <w:rPr>
      <w:rFonts w:ascii="Arial" w:hAnsi="Arial" w:eastAsia="黑体"/>
    </w:rPr>
  </w:style>
  <w:style w:type="character" w:default="1" w:styleId="31">
    <w:name w:val="Default Paragraph Font"/>
    <w:unhideWhenUsed/>
    <w:uiPriority w:val="1"/>
  </w:style>
  <w:style w:type="table" w:default="1" w:styleId="29">
    <w:name w:val="Normal Table"/>
    <w:unhideWhenUsed/>
    <w:qFormat/>
    <w:uiPriority w:val="99"/>
    <w:tblPr>
      <w:tblStyle w:val="29"/>
      <w:tblCellMar>
        <w:top w:w="0" w:type="dxa"/>
        <w:left w:w="108" w:type="dxa"/>
        <w:bottom w:w="0" w:type="dxa"/>
        <w:right w:w="108" w:type="dxa"/>
      </w:tblCellMar>
    </w:tblPr>
  </w:style>
  <w:style w:type="paragraph" w:styleId="11">
    <w:name w:val="toc 7"/>
    <w:basedOn w:val="1"/>
    <w:next w:val="1"/>
    <w:qFormat/>
    <w:uiPriority w:val="39"/>
    <w:pPr>
      <w:ind w:left="1260"/>
      <w:jc w:val="left"/>
    </w:pPr>
    <w:rPr>
      <w:sz w:val="18"/>
    </w:rPr>
  </w:style>
  <w:style w:type="paragraph" w:styleId="12">
    <w:name w:val="caption"/>
    <w:basedOn w:val="1"/>
    <w:next w:val="1"/>
    <w:link w:val="47"/>
    <w:qFormat/>
    <w:uiPriority w:val="0"/>
    <w:rPr>
      <w:rFonts w:ascii="Cambria" w:hAnsi="Cambria" w:eastAsia="黑体"/>
      <w:kern w:val="0"/>
      <w:sz w:val="20"/>
    </w:rPr>
  </w:style>
  <w:style w:type="paragraph" w:styleId="13">
    <w:name w:val="Document Map"/>
    <w:basedOn w:val="1"/>
    <w:link w:val="48"/>
    <w:unhideWhenUsed/>
    <w:qFormat/>
    <w:uiPriority w:val="99"/>
    <w:rPr>
      <w:rFonts w:ascii="宋体"/>
      <w:sz w:val="18"/>
      <w:szCs w:val="18"/>
    </w:rPr>
  </w:style>
  <w:style w:type="paragraph" w:styleId="14">
    <w:name w:val="annotation text"/>
    <w:basedOn w:val="1"/>
    <w:link w:val="49"/>
    <w:unhideWhenUsed/>
    <w:qFormat/>
    <w:uiPriority w:val="99"/>
    <w:pPr>
      <w:jc w:val="left"/>
    </w:pPr>
  </w:style>
  <w:style w:type="paragraph" w:styleId="15">
    <w:name w:val="toc 5"/>
    <w:basedOn w:val="1"/>
    <w:next w:val="1"/>
    <w:qFormat/>
    <w:uiPriority w:val="39"/>
    <w:pPr>
      <w:ind w:left="840"/>
      <w:jc w:val="left"/>
    </w:pPr>
    <w:rPr>
      <w:sz w:val="18"/>
    </w:rPr>
  </w:style>
  <w:style w:type="paragraph" w:styleId="16">
    <w:name w:val="toc 3"/>
    <w:basedOn w:val="1"/>
    <w:next w:val="1"/>
    <w:qFormat/>
    <w:uiPriority w:val="39"/>
    <w:pPr>
      <w:ind w:left="420"/>
      <w:jc w:val="left"/>
    </w:pPr>
    <w:rPr>
      <w:sz w:val="24"/>
    </w:rPr>
  </w:style>
  <w:style w:type="paragraph" w:styleId="17">
    <w:name w:val="toc 8"/>
    <w:basedOn w:val="1"/>
    <w:next w:val="1"/>
    <w:qFormat/>
    <w:uiPriority w:val="39"/>
    <w:pPr>
      <w:ind w:left="1470"/>
      <w:jc w:val="left"/>
    </w:pPr>
    <w:rPr>
      <w:sz w:val="18"/>
    </w:rPr>
  </w:style>
  <w:style w:type="paragraph" w:styleId="18">
    <w:name w:val="Balloon Text"/>
    <w:basedOn w:val="1"/>
    <w:link w:val="50"/>
    <w:unhideWhenUsed/>
    <w:qFormat/>
    <w:uiPriority w:val="99"/>
    <w:rPr>
      <w:sz w:val="18"/>
      <w:szCs w:val="18"/>
    </w:rPr>
  </w:style>
  <w:style w:type="paragraph" w:styleId="19">
    <w:name w:val="footer"/>
    <w:basedOn w:val="1"/>
    <w:link w:val="51"/>
    <w:unhideWhenUsed/>
    <w:qFormat/>
    <w:uiPriority w:val="99"/>
    <w:pPr>
      <w:tabs>
        <w:tab w:val="center" w:pos="4153"/>
        <w:tab w:val="right" w:pos="8306"/>
      </w:tabs>
      <w:snapToGrid w:val="0"/>
      <w:jc w:val="left"/>
    </w:pPr>
    <w:rPr>
      <w:sz w:val="18"/>
      <w:szCs w:val="18"/>
    </w:rPr>
  </w:style>
  <w:style w:type="paragraph" w:styleId="20">
    <w:name w:val="header"/>
    <w:basedOn w:val="1"/>
    <w:link w:val="52"/>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tabs>
        <w:tab w:val="right" w:leader="dot" w:pos="8835"/>
      </w:tabs>
      <w:spacing w:before="120" w:after="120" w:line="264" w:lineRule="auto"/>
      <w:jc w:val="left"/>
    </w:pPr>
    <w:rPr>
      <w:rFonts w:ascii="Times New Roman" w:hAnsi="Times New Roman" w:eastAsia="黑体"/>
      <w:caps/>
      <w:sz w:val="32"/>
      <w:lang/>
    </w:rPr>
  </w:style>
  <w:style w:type="paragraph" w:styleId="22">
    <w:name w:val="toc 4"/>
    <w:basedOn w:val="1"/>
    <w:next w:val="1"/>
    <w:qFormat/>
    <w:uiPriority w:val="39"/>
    <w:pPr>
      <w:ind w:left="630"/>
      <w:jc w:val="left"/>
    </w:pPr>
    <w:rPr>
      <w:sz w:val="18"/>
    </w:rPr>
  </w:style>
  <w:style w:type="paragraph" w:styleId="23">
    <w:name w:val="footnote text"/>
    <w:basedOn w:val="1"/>
    <w:link w:val="53"/>
    <w:unhideWhenUsed/>
    <w:qFormat/>
    <w:uiPriority w:val="99"/>
    <w:pPr>
      <w:snapToGrid w:val="0"/>
      <w:jc w:val="left"/>
    </w:pPr>
    <w:rPr>
      <w:sz w:val="18"/>
      <w:szCs w:val="18"/>
    </w:rPr>
  </w:style>
  <w:style w:type="paragraph" w:styleId="24">
    <w:name w:val="toc 6"/>
    <w:basedOn w:val="1"/>
    <w:next w:val="1"/>
    <w:qFormat/>
    <w:uiPriority w:val="39"/>
    <w:pPr>
      <w:ind w:left="1050"/>
      <w:jc w:val="left"/>
    </w:pPr>
    <w:rPr>
      <w:sz w:val="18"/>
    </w:rPr>
  </w:style>
  <w:style w:type="paragraph" w:styleId="25">
    <w:name w:val="toc 2"/>
    <w:basedOn w:val="1"/>
    <w:next w:val="1"/>
    <w:qFormat/>
    <w:uiPriority w:val="39"/>
    <w:pPr>
      <w:tabs>
        <w:tab w:val="right" w:leader="dot" w:pos="8835"/>
      </w:tabs>
      <w:spacing w:line="264" w:lineRule="auto"/>
      <w:ind w:left="420" w:leftChars="200"/>
      <w:jc w:val="left"/>
    </w:pPr>
    <w:rPr>
      <w:rFonts w:ascii="Times New Roman" w:hAnsi="Times New Roman" w:eastAsia="楷体"/>
      <w:sz w:val="32"/>
      <w:lang/>
    </w:rPr>
  </w:style>
  <w:style w:type="paragraph" w:styleId="26">
    <w:name w:val="toc 9"/>
    <w:basedOn w:val="1"/>
    <w:next w:val="1"/>
    <w:qFormat/>
    <w:uiPriority w:val="39"/>
    <w:pPr>
      <w:ind w:left="1680"/>
      <w:jc w:val="left"/>
    </w:pPr>
    <w:rPr>
      <w:sz w:val="18"/>
    </w:rPr>
  </w:style>
  <w:style w:type="paragraph" w:styleId="27">
    <w:name w:val="Normal (Web)"/>
    <w:basedOn w:val="1"/>
    <w:unhideWhenUsed/>
    <w:qFormat/>
    <w:uiPriority w:val="99"/>
    <w:pPr>
      <w:spacing w:beforeAutospacing="1" w:afterAutospacing="1"/>
      <w:jc w:val="left"/>
    </w:pPr>
    <w:rPr>
      <w:kern w:val="0"/>
      <w:sz w:val="24"/>
    </w:rPr>
  </w:style>
  <w:style w:type="paragraph" w:styleId="28">
    <w:name w:val="annotation subject"/>
    <w:basedOn w:val="14"/>
    <w:next w:val="14"/>
    <w:link w:val="54"/>
    <w:unhideWhenUsed/>
    <w:qFormat/>
    <w:uiPriority w:val="99"/>
    <w:rPr>
      <w:b/>
      <w:bCs/>
    </w:rPr>
  </w:style>
  <w:style w:type="table" w:styleId="30">
    <w:name w:val="Table Grid"/>
    <w:basedOn w:val="29"/>
    <w:qFormat/>
    <w:uiPriority w:val="59"/>
    <w:tblPr>
      <w:tblStyle w:val="29"/>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22"/>
    <w:rPr>
      <w:b/>
      <w:bCs/>
    </w:rPr>
  </w:style>
  <w:style w:type="character" w:styleId="33">
    <w:name w:val="page number"/>
    <w:basedOn w:val="31"/>
    <w:unhideWhenUsed/>
    <w:uiPriority w:val="99"/>
  </w:style>
  <w:style w:type="character" w:styleId="34">
    <w:name w:val="Emphasis"/>
    <w:basedOn w:val="31"/>
    <w:qFormat/>
    <w:uiPriority w:val="20"/>
    <w:rPr>
      <w:i/>
      <w:iCs/>
    </w:rPr>
  </w:style>
  <w:style w:type="character" w:styleId="35">
    <w:name w:val="Hyperlink"/>
    <w:qFormat/>
    <w:uiPriority w:val="99"/>
    <w:rPr>
      <w:rFonts w:eastAsia="仿宋_GB2312"/>
      <w:color w:val="auto"/>
      <w:sz w:val="44"/>
      <w:u w:val="single"/>
    </w:rPr>
  </w:style>
  <w:style w:type="character" w:styleId="36">
    <w:name w:val="annotation reference"/>
    <w:unhideWhenUsed/>
    <w:qFormat/>
    <w:uiPriority w:val="99"/>
    <w:rPr>
      <w:sz w:val="21"/>
      <w:szCs w:val="21"/>
    </w:rPr>
  </w:style>
  <w:style w:type="character" w:styleId="37">
    <w:name w:val="footnote reference"/>
    <w:unhideWhenUsed/>
    <w:qFormat/>
    <w:uiPriority w:val="99"/>
    <w:rPr>
      <w:vertAlign w:val="superscript"/>
    </w:rPr>
  </w:style>
  <w:style w:type="character" w:customStyle="1" w:styleId="38">
    <w:name w:val="标题 1 Char"/>
    <w:link w:val="2"/>
    <w:qFormat/>
    <w:uiPriority w:val="99"/>
    <w:rPr>
      <w:rFonts w:ascii="Times New Roman" w:hAnsi="Times New Roman" w:eastAsia="黑体"/>
      <w:kern w:val="44"/>
      <w:sz w:val="32"/>
    </w:rPr>
  </w:style>
  <w:style w:type="character" w:customStyle="1" w:styleId="39">
    <w:name w:val="标题 2 Char"/>
    <w:link w:val="3"/>
    <w:qFormat/>
    <w:uiPriority w:val="99"/>
    <w:rPr>
      <w:rFonts w:ascii="Times New Roman" w:hAnsi="Times New Roman" w:eastAsia="楷体"/>
      <w:color w:val="000000"/>
      <w:kern w:val="2"/>
      <w:sz w:val="32"/>
    </w:rPr>
  </w:style>
  <w:style w:type="character" w:customStyle="1" w:styleId="40">
    <w:name w:val="标题 3 Char"/>
    <w:link w:val="4"/>
    <w:qFormat/>
    <w:uiPriority w:val="0"/>
    <w:rPr>
      <w:rFonts w:ascii="Times New Roman" w:hAnsi="Times New Roman" w:eastAsia="仿宋_GB2312"/>
      <w:kern w:val="2"/>
      <w:sz w:val="32"/>
    </w:rPr>
  </w:style>
  <w:style w:type="character" w:customStyle="1" w:styleId="41">
    <w:name w:val="标题 4 Char"/>
    <w:link w:val="5"/>
    <w:qFormat/>
    <w:uiPriority w:val="0"/>
    <w:rPr>
      <w:rFonts w:ascii="Arial" w:hAnsi="Arial"/>
      <w:b/>
      <w:kern w:val="2"/>
      <w:sz w:val="28"/>
    </w:rPr>
  </w:style>
  <w:style w:type="character" w:customStyle="1" w:styleId="42">
    <w:name w:val="标题 5 Char"/>
    <w:link w:val="6"/>
    <w:qFormat/>
    <w:uiPriority w:val="0"/>
    <w:rPr>
      <w:rFonts w:eastAsia="黑体"/>
      <w:kern w:val="2"/>
      <w:sz w:val="21"/>
    </w:rPr>
  </w:style>
  <w:style w:type="character" w:customStyle="1" w:styleId="43">
    <w:name w:val="标题 6 Char"/>
    <w:link w:val="7"/>
    <w:qFormat/>
    <w:uiPriority w:val="0"/>
    <w:rPr>
      <w:rFonts w:ascii="Arial" w:hAnsi="Arial" w:eastAsia="黑体"/>
      <w:b/>
      <w:kern w:val="2"/>
      <w:sz w:val="24"/>
    </w:rPr>
  </w:style>
  <w:style w:type="character" w:customStyle="1" w:styleId="44">
    <w:name w:val="标题 7 Char"/>
    <w:link w:val="8"/>
    <w:qFormat/>
    <w:uiPriority w:val="0"/>
    <w:rPr>
      <w:b/>
      <w:kern w:val="2"/>
      <w:sz w:val="24"/>
    </w:rPr>
  </w:style>
  <w:style w:type="character" w:customStyle="1" w:styleId="45">
    <w:name w:val="标题 8 Char"/>
    <w:link w:val="9"/>
    <w:qFormat/>
    <w:uiPriority w:val="0"/>
    <w:rPr>
      <w:rFonts w:ascii="Arial" w:hAnsi="Arial" w:eastAsia="黑体"/>
      <w:kern w:val="2"/>
      <w:sz w:val="24"/>
    </w:rPr>
  </w:style>
  <w:style w:type="character" w:customStyle="1" w:styleId="46">
    <w:name w:val="标题 9 Char"/>
    <w:link w:val="10"/>
    <w:qFormat/>
    <w:uiPriority w:val="0"/>
    <w:rPr>
      <w:rFonts w:ascii="Arial" w:hAnsi="Arial" w:eastAsia="黑体"/>
      <w:kern w:val="2"/>
      <w:sz w:val="21"/>
    </w:rPr>
  </w:style>
  <w:style w:type="character" w:customStyle="1" w:styleId="47">
    <w:name w:val="题注 Char"/>
    <w:link w:val="12"/>
    <w:qFormat/>
    <w:uiPriority w:val="0"/>
    <w:rPr>
      <w:rFonts w:ascii="Cambria" w:hAnsi="Cambria" w:eastAsia="黑体"/>
    </w:rPr>
  </w:style>
  <w:style w:type="character" w:customStyle="1" w:styleId="48">
    <w:name w:val="文档结构图 Char1"/>
    <w:link w:val="13"/>
    <w:semiHidden/>
    <w:qFormat/>
    <w:uiPriority w:val="99"/>
    <w:rPr>
      <w:rFonts w:ascii="宋体"/>
      <w:kern w:val="2"/>
      <w:sz w:val="18"/>
      <w:szCs w:val="18"/>
    </w:rPr>
  </w:style>
  <w:style w:type="character" w:customStyle="1" w:styleId="49">
    <w:name w:val="批注文字 Char1"/>
    <w:link w:val="14"/>
    <w:semiHidden/>
    <w:qFormat/>
    <w:uiPriority w:val="99"/>
    <w:rPr>
      <w:kern w:val="2"/>
      <w:sz w:val="21"/>
    </w:rPr>
  </w:style>
  <w:style w:type="character" w:customStyle="1" w:styleId="50">
    <w:name w:val="批注框文本 Char1"/>
    <w:link w:val="18"/>
    <w:semiHidden/>
    <w:qFormat/>
    <w:uiPriority w:val="99"/>
    <w:rPr>
      <w:kern w:val="2"/>
      <w:sz w:val="18"/>
      <w:szCs w:val="18"/>
    </w:rPr>
  </w:style>
  <w:style w:type="character" w:customStyle="1" w:styleId="51">
    <w:name w:val="页脚 Char1"/>
    <w:link w:val="19"/>
    <w:qFormat/>
    <w:uiPriority w:val="99"/>
    <w:rPr>
      <w:kern w:val="2"/>
      <w:sz w:val="18"/>
      <w:szCs w:val="18"/>
    </w:rPr>
  </w:style>
  <w:style w:type="character" w:customStyle="1" w:styleId="52">
    <w:name w:val="页眉 Char1"/>
    <w:link w:val="20"/>
    <w:qFormat/>
    <w:uiPriority w:val="99"/>
    <w:rPr>
      <w:kern w:val="2"/>
      <w:sz w:val="18"/>
      <w:szCs w:val="18"/>
    </w:rPr>
  </w:style>
  <w:style w:type="character" w:customStyle="1" w:styleId="53">
    <w:name w:val="脚注文本 Char1"/>
    <w:link w:val="23"/>
    <w:semiHidden/>
    <w:qFormat/>
    <w:uiPriority w:val="99"/>
    <w:rPr>
      <w:kern w:val="2"/>
      <w:sz w:val="18"/>
      <w:szCs w:val="18"/>
    </w:rPr>
  </w:style>
  <w:style w:type="character" w:customStyle="1" w:styleId="54">
    <w:name w:val="批注主题 Char1"/>
    <w:link w:val="28"/>
    <w:semiHidden/>
    <w:qFormat/>
    <w:uiPriority w:val="99"/>
    <w:rPr>
      <w:b/>
      <w:bCs/>
      <w:kern w:val="2"/>
      <w:sz w:val="21"/>
    </w:rPr>
  </w:style>
  <w:style w:type="character" w:customStyle="1" w:styleId="55">
    <w:name w:val="文档结构图 Char"/>
    <w:link w:val="56"/>
    <w:qFormat/>
    <w:uiPriority w:val="99"/>
    <w:rPr>
      <w:rFonts w:eastAsia="宋体"/>
      <w:kern w:val="2"/>
      <w:sz w:val="21"/>
      <w:lang w:val="en-US" w:eastAsia="zh-CN"/>
    </w:rPr>
  </w:style>
  <w:style w:type="paragraph" w:customStyle="1" w:styleId="56">
    <w:name w:val="文档结构图1"/>
    <w:basedOn w:val="1"/>
    <w:link w:val="55"/>
    <w:qFormat/>
    <w:uiPriority w:val="99"/>
    <w:pPr>
      <w:shd w:val="clear" w:color="auto" w:fill="000080"/>
    </w:pPr>
  </w:style>
  <w:style w:type="character" w:customStyle="1" w:styleId="57">
    <w:name w:val="font81"/>
    <w:basedOn w:val="31"/>
    <w:uiPriority w:val="0"/>
    <w:rPr>
      <w:rFonts w:ascii="方正书宋_GBK" w:hAnsi="方正书宋_GBK" w:eastAsia="方正书宋_GBK" w:cs="方正书宋_GBK"/>
      <w:color w:val="000000"/>
      <w:sz w:val="22"/>
      <w:szCs w:val="22"/>
      <w:u w:val="none"/>
    </w:rPr>
  </w:style>
  <w:style w:type="character" w:customStyle="1" w:styleId="58">
    <w:name w:val="fontstyle01"/>
    <w:basedOn w:val="31"/>
    <w:uiPriority w:val="0"/>
    <w:rPr>
      <w:rFonts w:ascii="仿宋_GB2312" w:hAnsi="仿宋_GB2312" w:eastAsia="仿宋_GB2312" w:cs="仿宋_GB2312"/>
      <w:color w:val="000000"/>
      <w:sz w:val="32"/>
      <w:szCs w:val="32"/>
    </w:rPr>
  </w:style>
  <w:style w:type="character" w:customStyle="1" w:styleId="59">
    <w:name w:val="fontstyle11"/>
    <w:basedOn w:val="31"/>
    <w:uiPriority w:val="0"/>
    <w:rPr>
      <w:rFonts w:ascii="仿宋_GB2312" w:hAnsi="仿宋_GB2312" w:eastAsia="仿宋_GB2312" w:cs="仿宋_GB2312"/>
      <w:color w:val="000000"/>
      <w:sz w:val="32"/>
      <w:szCs w:val="32"/>
    </w:rPr>
  </w:style>
  <w:style w:type="character" w:customStyle="1" w:styleId="60">
    <w:name w:val="wenda-abstract-listnum"/>
    <w:basedOn w:val="31"/>
    <w:uiPriority w:val="0"/>
  </w:style>
  <w:style w:type="character" w:customStyle="1" w:styleId="61">
    <w:name w:val="正文文本缩进 2 Char"/>
    <w:link w:val="62"/>
    <w:qFormat/>
    <w:uiPriority w:val="0"/>
    <w:rPr>
      <w:rFonts w:ascii="宋体" w:hAnsi="宋体" w:eastAsia="宋体"/>
    </w:rPr>
  </w:style>
  <w:style w:type="paragraph" w:customStyle="1" w:styleId="62">
    <w:name w:val="正文文本缩进 21"/>
    <w:basedOn w:val="1"/>
    <w:link w:val="61"/>
    <w:qFormat/>
    <w:uiPriority w:val="0"/>
    <w:pPr>
      <w:spacing w:line="360" w:lineRule="auto"/>
      <w:ind w:right="12" w:rightChars="12" w:firstLine="489" w:firstLineChars="233"/>
    </w:pPr>
    <w:rPr>
      <w:rFonts w:ascii="宋体" w:hAnsi="宋体"/>
      <w:kern w:val="0"/>
      <w:sz w:val="20"/>
    </w:rPr>
  </w:style>
  <w:style w:type="character" w:customStyle="1" w:styleId="63">
    <w:name w:val="正文缩2 Char"/>
    <w:link w:val="64"/>
    <w:qFormat/>
    <w:uiPriority w:val="0"/>
    <w:rPr>
      <w:sz w:val="24"/>
      <w:szCs w:val="24"/>
    </w:rPr>
  </w:style>
  <w:style w:type="paragraph" w:customStyle="1" w:styleId="64">
    <w:name w:val="正文缩2"/>
    <w:basedOn w:val="1"/>
    <w:link w:val="63"/>
    <w:qFormat/>
    <w:uiPriority w:val="0"/>
    <w:pPr>
      <w:spacing w:line="360" w:lineRule="auto"/>
      <w:ind w:firstLine="200" w:firstLineChars="200"/>
    </w:pPr>
    <w:rPr>
      <w:kern w:val="0"/>
      <w:sz w:val="24"/>
      <w:szCs w:val="24"/>
    </w:rPr>
  </w:style>
  <w:style w:type="character" w:customStyle="1" w:styleId="65">
    <w:name w:val="font51"/>
    <w:basedOn w:val="31"/>
    <w:uiPriority w:val="0"/>
    <w:rPr>
      <w:rFonts w:hint="eastAsia" w:ascii="仿宋_GB2312" w:eastAsia="仿宋_GB2312" w:cs="仿宋_GB2312"/>
      <w:color w:val="000000"/>
      <w:sz w:val="22"/>
      <w:szCs w:val="22"/>
      <w:u w:val="none"/>
    </w:rPr>
  </w:style>
  <w:style w:type="character" w:customStyle="1" w:styleId="66">
    <w:name w:val="Plain Text Char Char Char Char Char"/>
    <w:qFormat/>
    <w:uiPriority w:val="0"/>
    <w:rPr>
      <w:rFonts w:ascii="宋体" w:hAnsi="Courier New" w:eastAsia="宋体"/>
      <w:kern w:val="2"/>
      <w:sz w:val="21"/>
      <w:lang w:val="en-US" w:eastAsia="zh-CN"/>
    </w:rPr>
  </w:style>
  <w:style w:type="character" w:customStyle="1" w:styleId="67">
    <w:name w:val="HTML 引文1"/>
    <w:qFormat/>
    <w:uiPriority w:val="0"/>
    <w:rPr>
      <w:i/>
    </w:rPr>
  </w:style>
  <w:style w:type="character" w:customStyle="1" w:styleId="68">
    <w:name w:val="Char Char Char1"/>
    <w:qFormat/>
    <w:uiPriority w:val="0"/>
    <w:rPr>
      <w:rFonts w:eastAsia="宋体"/>
      <w:b/>
      <w:kern w:val="44"/>
      <w:sz w:val="44"/>
      <w:lang w:val="en-US" w:eastAsia="zh-CN"/>
    </w:rPr>
  </w:style>
  <w:style w:type="character" w:customStyle="1" w:styleId="69">
    <w:name w:val="个人答复风格"/>
    <w:qFormat/>
    <w:uiPriority w:val="0"/>
    <w:rPr>
      <w:rFonts w:ascii="Arial" w:hAnsi="Arial" w:eastAsia="宋体"/>
      <w:color w:val="auto"/>
      <w:sz w:val="20"/>
    </w:rPr>
  </w:style>
  <w:style w:type="character" w:customStyle="1" w:styleId="70">
    <w:name w:val="font21"/>
    <w:basedOn w:val="31"/>
    <w:uiPriority w:val="0"/>
    <w:rPr>
      <w:rFonts w:ascii="仿宋_GB2312" w:eastAsia="仿宋_GB2312" w:cs="仿宋_GB2312"/>
      <w:color w:val="000000"/>
      <w:sz w:val="21"/>
      <w:szCs w:val="21"/>
      <w:u w:val="none"/>
    </w:rPr>
  </w:style>
  <w:style w:type="character" w:customStyle="1" w:styleId="71">
    <w:name w:val="font61"/>
    <w:basedOn w:val="31"/>
    <w:uiPriority w:val="0"/>
    <w:rPr>
      <w:rFonts w:hint="default" w:ascii="Times New Roman" w:hAnsi="Times New Roman" w:cs="Times New Roman"/>
      <w:color w:val="000000"/>
      <w:sz w:val="22"/>
      <w:szCs w:val="22"/>
      <w:u w:val="none"/>
    </w:rPr>
  </w:style>
  <w:style w:type="character" w:customStyle="1" w:styleId="72">
    <w:name w:val="个人撰写风格"/>
    <w:qFormat/>
    <w:uiPriority w:val="0"/>
    <w:rPr>
      <w:rFonts w:ascii="Arial" w:hAnsi="Arial" w:eastAsia="宋体"/>
      <w:color w:val="auto"/>
      <w:sz w:val="20"/>
    </w:rPr>
  </w:style>
  <w:style w:type="character" w:customStyle="1" w:styleId="73">
    <w:name w:val="不明显强调1"/>
    <w:qFormat/>
    <w:uiPriority w:val="0"/>
    <w:rPr>
      <w:i/>
      <w:color w:val="808080"/>
    </w:rPr>
  </w:style>
  <w:style w:type="character" w:customStyle="1" w:styleId="74">
    <w:name w:val="fontstyle21"/>
    <w:basedOn w:val="31"/>
    <w:uiPriority w:val="0"/>
    <w:rPr>
      <w:rFonts w:ascii="Calibri" w:hAnsi="Calibri" w:cs="Calibri"/>
      <w:color w:val="000000"/>
      <w:sz w:val="18"/>
      <w:szCs w:val="18"/>
    </w:rPr>
  </w:style>
  <w:style w:type="character" w:customStyle="1" w:styleId="75">
    <w:name w:val="font41"/>
    <w:basedOn w:val="31"/>
    <w:uiPriority w:val="0"/>
    <w:rPr>
      <w:rFonts w:hint="default" w:ascii="Times New Roman" w:hAnsi="Times New Roman" w:cs="Times New Roman"/>
      <w:color w:val="000000"/>
      <w:sz w:val="20"/>
      <w:szCs w:val="20"/>
      <w:u w:val="none"/>
    </w:rPr>
  </w:style>
  <w:style w:type="character" w:customStyle="1" w:styleId="76">
    <w:name w:val="Char Char Char"/>
    <w:qFormat/>
    <w:uiPriority w:val="0"/>
    <w:rPr>
      <w:rFonts w:eastAsia="宋体"/>
      <w:b/>
      <w:kern w:val="44"/>
      <w:sz w:val="44"/>
      <w:lang w:val="en-US" w:eastAsia="zh-CN"/>
    </w:rPr>
  </w:style>
  <w:style w:type="character" w:customStyle="1" w:styleId="77">
    <w:name w:val="font71"/>
    <w:basedOn w:val="31"/>
    <w:uiPriority w:val="0"/>
    <w:rPr>
      <w:rFonts w:hint="eastAsia" w:ascii="仿宋_GB2312" w:eastAsia="仿宋_GB2312" w:cs="仿宋_GB2312"/>
      <w:color w:val="000000"/>
      <w:sz w:val="22"/>
      <w:szCs w:val="22"/>
      <w:u w:val="none"/>
    </w:rPr>
  </w:style>
  <w:style w:type="character" w:customStyle="1" w:styleId="78">
    <w:name w:val="HTML 键盘1"/>
    <w:qFormat/>
    <w:uiPriority w:val="0"/>
    <w:rPr>
      <w:rFonts w:ascii="Courier New" w:hAnsi="Courier New"/>
      <w:sz w:val="20"/>
    </w:rPr>
  </w:style>
  <w:style w:type="character" w:customStyle="1" w:styleId="79">
    <w:name w:val="发布"/>
    <w:qFormat/>
    <w:uiPriority w:val="0"/>
    <w:rPr>
      <w:rFonts w:ascii="黑体" w:eastAsia="黑体"/>
      <w:spacing w:val="22"/>
      <w:w w:val="100"/>
      <w:position w:val="3"/>
      <w:sz w:val="28"/>
    </w:rPr>
  </w:style>
  <w:style w:type="character" w:customStyle="1" w:styleId="80">
    <w:name w:val="纯文本 Char"/>
    <w:link w:val="81"/>
    <w:qFormat/>
    <w:uiPriority w:val="0"/>
    <w:rPr>
      <w:rFonts w:ascii="宋体" w:hAnsi="Courier New" w:eastAsia="宋体"/>
    </w:rPr>
  </w:style>
  <w:style w:type="paragraph" w:customStyle="1" w:styleId="81">
    <w:name w:val="纯文本1"/>
    <w:basedOn w:val="1"/>
    <w:link w:val="80"/>
    <w:qFormat/>
    <w:uiPriority w:val="0"/>
    <w:rPr>
      <w:rFonts w:ascii="宋体" w:hAnsi="Courier New"/>
      <w:kern w:val="0"/>
      <w:sz w:val="20"/>
    </w:rPr>
  </w:style>
  <w:style w:type="character" w:customStyle="1" w:styleId="82">
    <w:name w:val="font31"/>
    <w:basedOn w:val="31"/>
    <w:uiPriority w:val="0"/>
    <w:rPr>
      <w:rFonts w:ascii="仿宋_GB2312" w:eastAsia="仿宋_GB2312" w:cs="仿宋_GB2312"/>
      <w:color w:val="FF0000"/>
      <w:sz w:val="20"/>
      <w:szCs w:val="20"/>
      <w:u w:val="none"/>
    </w:rPr>
  </w:style>
  <w:style w:type="character" w:customStyle="1" w:styleId="83">
    <w:name w:val="正文文本缩进 Char"/>
    <w:link w:val="84"/>
    <w:qFormat/>
    <w:uiPriority w:val="0"/>
    <w:rPr>
      <w:rFonts w:eastAsia="宋体"/>
      <w:kern w:val="2"/>
      <w:sz w:val="21"/>
      <w:lang w:val="en-US" w:eastAsia="zh-CN"/>
    </w:rPr>
  </w:style>
  <w:style w:type="paragraph" w:customStyle="1" w:styleId="84">
    <w:name w:val="正文文本缩进1"/>
    <w:basedOn w:val="1"/>
    <w:link w:val="83"/>
    <w:qFormat/>
    <w:uiPriority w:val="0"/>
    <w:pPr>
      <w:spacing w:after="120"/>
      <w:ind w:left="420" w:leftChars="200"/>
    </w:pPr>
  </w:style>
  <w:style w:type="character" w:customStyle="1" w:styleId="85">
    <w:name w:val="HTML 变量1"/>
    <w:qFormat/>
    <w:uiPriority w:val="0"/>
    <w:rPr>
      <w:i/>
    </w:rPr>
  </w:style>
  <w:style w:type="character" w:customStyle="1" w:styleId="86">
    <w:name w:val="标题 Char"/>
    <w:link w:val="87"/>
    <w:qFormat/>
    <w:uiPriority w:val="0"/>
    <w:rPr>
      <w:rFonts w:ascii="Cambria" w:hAnsi="Cambria" w:eastAsia="宋体"/>
      <w:b/>
      <w:sz w:val="32"/>
    </w:rPr>
  </w:style>
  <w:style w:type="paragraph" w:customStyle="1" w:styleId="87">
    <w:name w:val="标题1"/>
    <w:basedOn w:val="1"/>
    <w:link w:val="86"/>
    <w:qFormat/>
    <w:uiPriority w:val="0"/>
    <w:pPr>
      <w:spacing w:before="240" w:after="60"/>
      <w:jc w:val="center"/>
      <w:outlineLvl w:val="0"/>
    </w:pPr>
    <w:rPr>
      <w:rFonts w:ascii="Cambria" w:hAnsi="Cambria"/>
      <w:b/>
      <w:kern w:val="0"/>
      <w:sz w:val="32"/>
    </w:rPr>
  </w:style>
  <w:style w:type="character" w:customStyle="1" w:styleId="88">
    <w:name w:val="HTML 代码1"/>
    <w:qFormat/>
    <w:uiPriority w:val="0"/>
    <w:rPr>
      <w:rFonts w:ascii="Courier New" w:hAnsi="Courier New"/>
      <w:sz w:val="20"/>
    </w:rPr>
  </w:style>
  <w:style w:type="character" w:customStyle="1" w:styleId="89">
    <w:name w:val="Char Char Char2"/>
    <w:qFormat/>
    <w:uiPriority w:val="0"/>
    <w:rPr>
      <w:rFonts w:eastAsia="宋体"/>
      <w:b/>
      <w:kern w:val="44"/>
      <w:sz w:val="44"/>
      <w:lang w:val="en-US" w:eastAsia="zh-CN"/>
    </w:rPr>
  </w:style>
  <w:style w:type="character" w:customStyle="1" w:styleId="90">
    <w:name w:val="font11"/>
    <w:basedOn w:val="31"/>
    <w:qFormat/>
    <w:uiPriority w:val="0"/>
    <w:rPr>
      <w:rFonts w:hint="eastAsia" w:ascii="宋体" w:hAnsi="宋体" w:eastAsia="宋体" w:cs="宋体"/>
      <w:color w:val="000000"/>
      <w:sz w:val="24"/>
      <w:szCs w:val="24"/>
      <w:u w:val="none"/>
    </w:rPr>
  </w:style>
  <w:style w:type="character" w:customStyle="1" w:styleId="91">
    <w:name w:val="HTML 缩写1"/>
    <w:basedOn w:val="31"/>
    <w:qFormat/>
    <w:uiPriority w:val="0"/>
  </w:style>
  <w:style w:type="character" w:customStyle="1" w:styleId="92">
    <w:name w:val="font01"/>
    <w:basedOn w:val="31"/>
    <w:qFormat/>
    <w:uiPriority w:val="0"/>
    <w:rPr>
      <w:rFonts w:hint="eastAsia" w:ascii="宋体" w:hAnsi="宋体" w:eastAsia="宋体" w:cs="宋体"/>
      <w:color w:val="000000"/>
      <w:sz w:val="21"/>
      <w:szCs w:val="21"/>
      <w:u w:val="none"/>
    </w:rPr>
  </w:style>
  <w:style w:type="character" w:customStyle="1" w:styleId="93">
    <w:name w:val="批注文字 Char"/>
    <w:link w:val="94"/>
    <w:qFormat/>
    <w:uiPriority w:val="0"/>
    <w:rPr>
      <w:rFonts w:eastAsia="宋体"/>
      <w:kern w:val="2"/>
      <w:sz w:val="21"/>
      <w:lang w:val="en-US" w:eastAsia="zh-CN"/>
    </w:rPr>
  </w:style>
  <w:style w:type="paragraph" w:customStyle="1" w:styleId="94">
    <w:name w:val="批注文字1"/>
    <w:basedOn w:val="1"/>
    <w:link w:val="93"/>
    <w:qFormat/>
    <w:uiPriority w:val="0"/>
    <w:pPr>
      <w:jc w:val="left"/>
    </w:pPr>
  </w:style>
  <w:style w:type="character" w:customStyle="1" w:styleId="95">
    <w:name w:val="脚注引用1"/>
    <w:qFormat/>
    <w:uiPriority w:val="0"/>
    <w:rPr>
      <w:vertAlign w:val="superscript"/>
    </w:rPr>
  </w:style>
  <w:style w:type="character" w:customStyle="1" w:styleId="96">
    <w:name w:val="HTML 地址 Char"/>
    <w:link w:val="97"/>
    <w:qFormat/>
    <w:uiPriority w:val="0"/>
    <w:rPr>
      <w:rFonts w:eastAsia="宋体"/>
      <w:i/>
    </w:rPr>
  </w:style>
  <w:style w:type="paragraph" w:customStyle="1" w:styleId="97">
    <w:name w:val="HTML 地址1"/>
    <w:basedOn w:val="1"/>
    <w:link w:val="96"/>
    <w:qFormat/>
    <w:uiPriority w:val="0"/>
    <w:rPr>
      <w:i/>
      <w:kern w:val="0"/>
      <w:sz w:val="20"/>
    </w:rPr>
  </w:style>
  <w:style w:type="character" w:customStyle="1" w:styleId="98">
    <w:name w:val="日期 Char"/>
    <w:link w:val="99"/>
    <w:qFormat/>
    <w:uiPriority w:val="0"/>
    <w:rPr>
      <w:rFonts w:eastAsia="宋体"/>
      <w:kern w:val="2"/>
      <w:sz w:val="21"/>
      <w:lang w:val="en-US" w:eastAsia="zh-CN"/>
    </w:rPr>
  </w:style>
  <w:style w:type="paragraph" w:customStyle="1" w:styleId="99">
    <w:name w:val="日期1"/>
    <w:basedOn w:val="1"/>
    <w:next w:val="1"/>
    <w:link w:val="98"/>
    <w:qFormat/>
    <w:uiPriority w:val="0"/>
    <w:pPr>
      <w:ind w:left="100" w:leftChars="2500"/>
    </w:pPr>
  </w:style>
  <w:style w:type="character" w:customStyle="1" w:styleId="100">
    <w:name w:val="页脚 Char"/>
    <w:link w:val="101"/>
    <w:qFormat/>
    <w:uiPriority w:val="99"/>
    <w:rPr>
      <w:rFonts w:eastAsia="宋体"/>
      <w:kern w:val="2"/>
      <w:sz w:val="18"/>
      <w:lang w:val="en-US" w:eastAsia="zh-CN"/>
    </w:rPr>
  </w:style>
  <w:style w:type="paragraph" w:customStyle="1" w:styleId="101">
    <w:name w:val="页脚1"/>
    <w:basedOn w:val="1"/>
    <w:link w:val="100"/>
    <w:qFormat/>
    <w:uiPriority w:val="99"/>
    <w:pPr>
      <w:tabs>
        <w:tab w:val="center" w:pos="4153"/>
        <w:tab w:val="right" w:pos="8306"/>
      </w:tabs>
      <w:snapToGrid w:val="0"/>
      <w:jc w:val="left"/>
    </w:pPr>
    <w:rPr>
      <w:sz w:val="18"/>
    </w:rPr>
  </w:style>
  <w:style w:type="character" w:customStyle="1" w:styleId="102">
    <w:name w:val="页眉 Char"/>
    <w:link w:val="103"/>
    <w:qFormat/>
    <w:uiPriority w:val="99"/>
    <w:rPr>
      <w:rFonts w:eastAsia="宋体"/>
      <w:kern w:val="2"/>
      <w:sz w:val="18"/>
      <w:lang w:val="en-US" w:eastAsia="zh-CN"/>
    </w:rPr>
  </w:style>
  <w:style w:type="paragraph" w:customStyle="1" w:styleId="103">
    <w:name w:val="页眉1"/>
    <w:basedOn w:val="1"/>
    <w:link w:val="102"/>
    <w:qFormat/>
    <w:uiPriority w:val="99"/>
    <w:pPr>
      <w:pBdr>
        <w:bottom w:val="single" w:color="auto" w:sz="6" w:space="1"/>
      </w:pBdr>
      <w:tabs>
        <w:tab w:val="center" w:pos="4153"/>
        <w:tab w:val="right" w:pos="8306"/>
      </w:tabs>
      <w:snapToGrid w:val="0"/>
      <w:jc w:val="center"/>
    </w:pPr>
    <w:rPr>
      <w:sz w:val="18"/>
    </w:rPr>
  </w:style>
  <w:style w:type="character" w:customStyle="1" w:styleId="104">
    <w:name w:val="尾注引用1"/>
    <w:qFormat/>
    <w:uiPriority w:val="0"/>
    <w:rPr>
      <w:vertAlign w:val="superscript"/>
    </w:rPr>
  </w:style>
  <w:style w:type="character" w:customStyle="1" w:styleId="105">
    <w:name w:val="HTML 预设格式 Char"/>
    <w:link w:val="106"/>
    <w:qFormat/>
    <w:uiPriority w:val="0"/>
    <w:rPr>
      <w:rFonts w:ascii="Courier New" w:hAnsi="Courier New" w:eastAsia="宋体"/>
    </w:rPr>
  </w:style>
  <w:style w:type="paragraph" w:customStyle="1" w:styleId="106">
    <w:name w:val="HTML 预设格式1"/>
    <w:basedOn w:val="1"/>
    <w:link w:val="105"/>
    <w:qFormat/>
    <w:uiPriority w:val="0"/>
    <w:rPr>
      <w:rFonts w:ascii="Courier New" w:hAnsi="Courier New"/>
      <w:kern w:val="0"/>
      <w:sz w:val="20"/>
    </w:rPr>
  </w:style>
  <w:style w:type="character" w:customStyle="1" w:styleId="107">
    <w:name w:val="页码1"/>
    <w:basedOn w:val="33"/>
    <w:qFormat/>
    <w:uiPriority w:val="0"/>
    <w:rPr>
      <w:rFonts w:ascii="Times New Roman" w:hAnsi="Times New Roman" w:eastAsia="宋体"/>
    </w:rPr>
  </w:style>
  <w:style w:type="character" w:customStyle="1" w:styleId="108">
    <w:name w:val="批注框文本 Char"/>
    <w:link w:val="109"/>
    <w:qFormat/>
    <w:uiPriority w:val="0"/>
    <w:rPr>
      <w:rFonts w:eastAsia="宋体"/>
      <w:kern w:val="2"/>
      <w:sz w:val="18"/>
      <w:lang w:val="en-US" w:eastAsia="zh-CN"/>
    </w:rPr>
  </w:style>
  <w:style w:type="paragraph" w:customStyle="1" w:styleId="109">
    <w:name w:val="批注框文本1"/>
    <w:basedOn w:val="1"/>
    <w:link w:val="108"/>
    <w:qFormat/>
    <w:uiPriority w:val="0"/>
    <w:rPr>
      <w:sz w:val="18"/>
    </w:rPr>
  </w:style>
  <w:style w:type="character" w:customStyle="1" w:styleId="110">
    <w:name w:val="尾注文本 Char"/>
    <w:link w:val="111"/>
    <w:qFormat/>
    <w:uiPriority w:val="0"/>
    <w:rPr>
      <w:rFonts w:eastAsia="宋体"/>
      <w:kern w:val="2"/>
      <w:sz w:val="21"/>
    </w:rPr>
  </w:style>
  <w:style w:type="paragraph" w:customStyle="1" w:styleId="111">
    <w:name w:val="尾注文本1"/>
    <w:basedOn w:val="1"/>
    <w:link w:val="110"/>
    <w:qFormat/>
    <w:uiPriority w:val="0"/>
    <w:pPr>
      <w:snapToGrid w:val="0"/>
      <w:jc w:val="left"/>
    </w:pPr>
  </w:style>
  <w:style w:type="character" w:customStyle="1" w:styleId="112">
    <w:name w:val="HTML 打字机1"/>
    <w:qFormat/>
    <w:uiPriority w:val="0"/>
    <w:rPr>
      <w:rFonts w:ascii="Courier New" w:hAnsi="Courier New"/>
      <w:sz w:val="20"/>
    </w:rPr>
  </w:style>
  <w:style w:type="character" w:customStyle="1" w:styleId="113">
    <w:name w:val="HTML 定义1"/>
    <w:qFormat/>
    <w:uiPriority w:val="0"/>
    <w:rPr>
      <w:i/>
    </w:rPr>
  </w:style>
  <w:style w:type="character" w:customStyle="1" w:styleId="114">
    <w:name w:val="正文文本缩进 3 Char"/>
    <w:link w:val="115"/>
    <w:qFormat/>
    <w:uiPriority w:val="0"/>
    <w:rPr>
      <w:rFonts w:eastAsia="宋体"/>
      <w:sz w:val="16"/>
    </w:rPr>
  </w:style>
  <w:style w:type="paragraph" w:customStyle="1" w:styleId="115">
    <w:name w:val="正文文本缩进 31"/>
    <w:basedOn w:val="1"/>
    <w:link w:val="114"/>
    <w:qFormat/>
    <w:uiPriority w:val="0"/>
    <w:pPr>
      <w:spacing w:after="120"/>
      <w:ind w:left="420" w:leftChars="200"/>
    </w:pPr>
    <w:rPr>
      <w:kern w:val="0"/>
      <w:sz w:val="16"/>
    </w:rPr>
  </w:style>
  <w:style w:type="character" w:customStyle="1" w:styleId="116">
    <w:name w:val="脚注文本 Char"/>
    <w:link w:val="117"/>
    <w:qFormat/>
    <w:uiPriority w:val="0"/>
    <w:rPr>
      <w:rFonts w:eastAsia="宋体"/>
      <w:kern w:val="2"/>
      <w:sz w:val="18"/>
      <w:lang w:val="en-US" w:eastAsia="zh-CN"/>
    </w:rPr>
  </w:style>
  <w:style w:type="paragraph" w:customStyle="1" w:styleId="117">
    <w:name w:val="脚注文本1"/>
    <w:basedOn w:val="1"/>
    <w:link w:val="116"/>
    <w:qFormat/>
    <w:uiPriority w:val="0"/>
    <w:pPr>
      <w:snapToGrid w:val="0"/>
      <w:jc w:val="left"/>
    </w:pPr>
    <w:rPr>
      <w:sz w:val="18"/>
    </w:rPr>
  </w:style>
  <w:style w:type="character" w:customStyle="1" w:styleId="118">
    <w:name w:val="HTML 样本1"/>
    <w:qFormat/>
    <w:uiPriority w:val="0"/>
    <w:rPr>
      <w:rFonts w:ascii="Courier New" w:hAnsi="Courier New"/>
    </w:rPr>
  </w:style>
  <w:style w:type="character" w:customStyle="1" w:styleId="119">
    <w:name w:val="副标题 Char"/>
    <w:link w:val="120"/>
    <w:qFormat/>
    <w:uiPriority w:val="0"/>
    <w:rPr>
      <w:rFonts w:ascii="Cambria" w:hAnsi="Cambria"/>
      <w:b/>
      <w:kern w:val="28"/>
      <w:sz w:val="32"/>
    </w:rPr>
  </w:style>
  <w:style w:type="paragraph" w:customStyle="1" w:styleId="120">
    <w:name w:val="副标题1"/>
    <w:basedOn w:val="1"/>
    <w:next w:val="1"/>
    <w:link w:val="119"/>
    <w:qFormat/>
    <w:uiPriority w:val="0"/>
    <w:pPr>
      <w:spacing w:before="240" w:after="60" w:line="312" w:lineRule="auto"/>
      <w:jc w:val="center"/>
      <w:outlineLvl w:val="1"/>
    </w:pPr>
    <w:rPr>
      <w:rFonts w:ascii="Cambria" w:hAnsi="Cambria"/>
      <w:b/>
      <w:kern w:val="28"/>
      <w:sz w:val="32"/>
    </w:rPr>
  </w:style>
  <w:style w:type="character" w:customStyle="1" w:styleId="121">
    <w:name w:val="批注引用1"/>
    <w:qFormat/>
    <w:uiPriority w:val="0"/>
    <w:rPr>
      <w:sz w:val="21"/>
    </w:rPr>
  </w:style>
  <w:style w:type="character" w:customStyle="1" w:styleId="122">
    <w:name w:val="已访问的超链接1"/>
    <w:qFormat/>
    <w:uiPriority w:val="0"/>
    <w:rPr>
      <w:color w:val="800080"/>
      <w:u w:val="single"/>
    </w:rPr>
  </w:style>
  <w:style w:type="character" w:customStyle="1" w:styleId="123">
    <w:name w:val="批注主题 Char"/>
    <w:link w:val="124"/>
    <w:qFormat/>
    <w:uiPriority w:val="99"/>
    <w:rPr>
      <w:rFonts w:eastAsia="宋体"/>
      <w:b/>
      <w:kern w:val="2"/>
      <w:sz w:val="21"/>
      <w:lang w:val="en-US" w:eastAsia="zh-CN"/>
    </w:rPr>
  </w:style>
  <w:style w:type="paragraph" w:customStyle="1" w:styleId="124">
    <w:name w:val="批注主题1"/>
    <w:basedOn w:val="94"/>
    <w:next w:val="94"/>
    <w:link w:val="123"/>
    <w:qFormat/>
    <w:uiPriority w:val="99"/>
    <w:rPr>
      <w:b/>
    </w:rPr>
  </w:style>
  <w:style w:type="character" w:customStyle="1" w:styleId="125">
    <w:name w:val="正文文本 Char"/>
    <w:link w:val="126"/>
    <w:qFormat/>
    <w:uiPriority w:val="0"/>
    <w:rPr>
      <w:rFonts w:eastAsia="宋体"/>
    </w:rPr>
  </w:style>
  <w:style w:type="paragraph" w:customStyle="1" w:styleId="126">
    <w:name w:val="正文文本1"/>
    <w:basedOn w:val="1"/>
    <w:link w:val="125"/>
    <w:qFormat/>
    <w:uiPriority w:val="0"/>
    <w:pPr>
      <w:spacing w:after="120"/>
    </w:pPr>
    <w:rPr>
      <w:kern w:val="0"/>
      <w:sz w:val="20"/>
    </w:rPr>
  </w:style>
  <w:style w:type="paragraph" w:customStyle="1" w:styleId="127">
    <w:name w:val="TOC 标题1"/>
    <w:basedOn w:val="2"/>
    <w:next w:val="1"/>
    <w:qFormat/>
    <w:uiPriority w:val="0"/>
    <w:pPr>
      <w:widowControl/>
      <w:numPr>
        <w:ilvl w:val="0"/>
        <w:numId w:val="0"/>
      </w:numPr>
      <w:spacing w:before="480" w:after="0" w:line="276" w:lineRule="auto"/>
      <w:jc w:val="left"/>
      <w:outlineLvl w:val="9"/>
    </w:pPr>
    <w:rPr>
      <w:rFonts w:ascii="Cambria" w:hAnsi="Cambria"/>
      <w:color w:val="376092"/>
      <w:kern w:val="0"/>
      <w:sz w:val="28"/>
    </w:rPr>
  </w:style>
  <w:style w:type="paragraph" w:customStyle="1" w:styleId="128">
    <w:name w:val="标准书眉_奇数页"/>
    <w:next w:val="1"/>
    <w:qFormat/>
    <w:uiPriority w:val="0"/>
    <w:pPr>
      <w:tabs>
        <w:tab w:val="center" w:pos="4154"/>
        <w:tab w:val="right" w:pos="8306"/>
      </w:tabs>
      <w:spacing w:after="120"/>
      <w:jc w:val="right"/>
    </w:pPr>
    <w:rPr>
      <w:kern w:val="2"/>
      <w:sz w:val="21"/>
      <w:lang w:val="en-US" w:eastAsia="zh-CN" w:bidi="ar-SA"/>
    </w:rPr>
  </w:style>
  <w:style w:type="paragraph" w:customStyle="1" w:styleId="129">
    <w:name w:val="目次、标准名称标题"/>
    <w:basedOn w:val="130"/>
    <w:next w:val="131"/>
    <w:qFormat/>
    <w:uiPriority w:val="0"/>
    <w:pPr>
      <w:spacing w:line="460" w:lineRule="exact"/>
    </w:pPr>
  </w:style>
  <w:style w:type="paragraph" w:customStyle="1" w:styleId="130">
    <w:name w:val="前言、引言标题"/>
    <w:next w:val="1"/>
    <w:qFormat/>
    <w:uiPriority w:val="0"/>
    <w:pPr>
      <w:shd w:val="clear" w:color="FFFFFF" w:fill="FFFFFF"/>
      <w:spacing w:before="640" w:after="560"/>
      <w:jc w:val="center"/>
      <w:outlineLvl w:val="0"/>
    </w:pPr>
    <w:rPr>
      <w:rFonts w:ascii="黑体" w:eastAsia="黑体"/>
      <w:kern w:val="2"/>
      <w:sz w:val="32"/>
      <w:lang w:val="en-US" w:eastAsia="zh-CN" w:bidi="ar-SA"/>
    </w:rPr>
  </w:style>
  <w:style w:type="paragraph" w:customStyle="1" w:styleId="131">
    <w:name w:val="段"/>
    <w:qFormat/>
    <w:uiPriority w:val="0"/>
    <w:pPr>
      <w:autoSpaceDE w:val="0"/>
      <w:autoSpaceDN w:val="0"/>
      <w:ind w:firstLine="200" w:firstLineChars="200"/>
      <w:jc w:val="both"/>
    </w:pPr>
    <w:rPr>
      <w:rFonts w:ascii="宋体"/>
      <w:kern w:val="2"/>
      <w:sz w:val="21"/>
      <w:lang w:val="en-US" w:eastAsia="zh-CN" w:bidi="ar-SA"/>
    </w:rPr>
  </w:style>
  <w:style w:type="paragraph" w:customStyle="1" w:styleId="132">
    <w:name w:val="_Style 97"/>
    <w:basedOn w:val="1"/>
    <w:qFormat/>
    <w:uiPriority w:val="0"/>
  </w:style>
  <w:style w:type="paragraph" w:customStyle="1" w:styleId="133">
    <w:name w:val="附录标识"/>
    <w:basedOn w:val="130"/>
    <w:qFormat/>
    <w:uiPriority w:val="0"/>
    <w:pPr>
      <w:tabs>
        <w:tab w:val="left" w:pos="6405"/>
      </w:tabs>
      <w:spacing w:after="200"/>
    </w:pPr>
    <w:rPr>
      <w:sz w:val="21"/>
    </w:rPr>
  </w:style>
  <w:style w:type="paragraph" w:customStyle="1" w:styleId="134">
    <w:name w:val="普通(网站)1"/>
    <w:basedOn w:val="1"/>
    <w:qFormat/>
    <w:uiPriority w:val="0"/>
    <w:pPr>
      <w:widowControl/>
      <w:spacing w:before="100" w:beforeAutospacing="1" w:after="100" w:afterAutospacing="1" w:line="411" w:lineRule="atLeast"/>
      <w:jc w:val="left"/>
    </w:pPr>
    <w:rPr>
      <w:rFonts w:ascii="宋体" w:hAnsi="宋体"/>
      <w:kern w:val="0"/>
      <w:sz w:val="22"/>
    </w:rPr>
  </w:style>
  <w:style w:type="paragraph" w:customStyle="1" w:styleId="135">
    <w:name w:val="公文正文"/>
    <w:basedOn w:val="136"/>
    <w:qFormat/>
    <w:uiPriority w:val="0"/>
    <w:pPr>
      <w:spacing w:line="360" w:lineRule="auto"/>
      <w:ind w:firstLine="600"/>
    </w:pPr>
    <w:rPr>
      <w:rFonts w:ascii="Times New Roman" w:hAnsi="Times New Roman" w:eastAsia="仿宋_GB2312"/>
      <w:bCs/>
      <w:color w:val="000000"/>
      <w:sz w:val="30"/>
      <w:szCs w:val="30"/>
    </w:rPr>
  </w:style>
  <w:style w:type="paragraph" w:customStyle="1" w:styleId="136">
    <w:name w:val="列出段落1"/>
    <w:basedOn w:val="1"/>
    <w:qFormat/>
    <w:uiPriority w:val="0"/>
    <w:pPr>
      <w:ind w:firstLine="420" w:firstLineChars="200"/>
    </w:pPr>
    <w:rPr>
      <w:rFonts w:ascii="Calibri" w:hAnsi="Calibri"/>
    </w:rPr>
  </w:style>
  <w:style w:type="paragraph" w:customStyle="1" w:styleId="137">
    <w:name w:val="封面标准号2"/>
    <w:basedOn w:val="138"/>
    <w:qFormat/>
    <w:uiPriority w:val="0"/>
    <w:pPr>
      <w:adjustRightInd w:val="0"/>
      <w:spacing w:before="357" w:line="280" w:lineRule="exact"/>
    </w:pPr>
  </w:style>
  <w:style w:type="paragraph" w:customStyle="1" w:styleId="138">
    <w:name w:val="封面标准号1"/>
    <w:qFormat/>
    <w:uiPriority w:val="0"/>
    <w:pPr>
      <w:widowControl w:val="0"/>
      <w:kinsoku w:val="0"/>
      <w:overflowPunct w:val="0"/>
      <w:autoSpaceDE w:val="0"/>
      <w:autoSpaceDN w:val="0"/>
      <w:spacing w:before="308"/>
      <w:jc w:val="right"/>
      <w:textAlignment w:val="center"/>
    </w:pPr>
    <w:rPr>
      <w:kern w:val="2"/>
      <w:sz w:val="28"/>
      <w:lang w:val="en-US" w:eastAsia="zh-CN" w:bidi="ar-SA"/>
    </w:rPr>
  </w:style>
  <w:style w:type="paragraph" w:customStyle="1" w:styleId="139">
    <w:name w:val="font6"/>
    <w:basedOn w:val="1"/>
    <w:qFormat/>
    <w:uiPriority w:val="0"/>
    <w:pPr>
      <w:widowControl/>
      <w:spacing w:before="100" w:beforeAutospacing="1" w:after="100" w:afterAutospacing="1"/>
      <w:jc w:val="left"/>
    </w:pPr>
    <w:rPr>
      <w:rFonts w:ascii="宋体" w:hAnsi="宋体"/>
      <w:color w:val="000000"/>
      <w:kern w:val="0"/>
    </w:rPr>
  </w:style>
  <w:style w:type="paragraph" w:customStyle="1" w:styleId="140">
    <w:name w:val="五级条标题"/>
    <w:basedOn w:val="141"/>
    <w:next w:val="1"/>
    <w:qFormat/>
    <w:uiPriority w:val="0"/>
    <w:pPr>
      <w:outlineLvl w:val="6"/>
    </w:pPr>
  </w:style>
  <w:style w:type="paragraph" w:customStyle="1" w:styleId="141">
    <w:name w:val="四级条标题"/>
    <w:basedOn w:val="142"/>
    <w:next w:val="1"/>
    <w:qFormat/>
    <w:uiPriority w:val="0"/>
    <w:pPr>
      <w:ind w:left="425" w:hanging="425"/>
      <w:outlineLvl w:val="5"/>
    </w:pPr>
  </w:style>
  <w:style w:type="paragraph" w:customStyle="1" w:styleId="142">
    <w:name w:val="三级条标题"/>
    <w:basedOn w:val="143"/>
    <w:next w:val="1"/>
    <w:qFormat/>
    <w:uiPriority w:val="0"/>
    <w:pPr>
      <w:outlineLvl w:val="4"/>
    </w:pPr>
  </w:style>
  <w:style w:type="paragraph" w:customStyle="1" w:styleId="143">
    <w:name w:val="二级条标题"/>
    <w:basedOn w:val="144"/>
    <w:next w:val="1"/>
    <w:qFormat/>
    <w:uiPriority w:val="0"/>
    <w:pPr>
      <w:outlineLvl w:val="3"/>
    </w:pPr>
  </w:style>
  <w:style w:type="paragraph" w:customStyle="1" w:styleId="144">
    <w:name w:val="一级条标题"/>
    <w:basedOn w:val="145"/>
    <w:next w:val="1"/>
    <w:qFormat/>
    <w:uiPriority w:val="0"/>
    <w:pPr>
      <w:outlineLvl w:val="2"/>
    </w:pPr>
  </w:style>
  <w:style w:type="paragraph" w:customStyle="1" w:styleId="145">
    <w:name w:val="章标题"/>
    <w:next w:val="1"/>
    <w:qFormat/>
    <w:uiPriority w:val="0"/>
    <w:pPr>
      <w:spacing w:beforeLines="50" w:afterLines="50"/>
      <w:ind w:left="720"/>
      <w:jc w:val="both"/>
      <w:outlineLvl w:val="1"/>
    </w:pPr>
    <w:rPr>
      <w:rFonts w:ascii="黑体" w:eastAsia="黑体"/>
      <w:kern w:val="2"/>
      <w:sz w:val="21"/>
      <w:lang w:val="en-US" w:eastAsia="zh-CN" w:bidi="ar-SA"/>
    </w:rPr>
  </w:style>
  <w:style w:type="paragraph" w:customStyle="1" w:styleId="146">
    <w:name w:val="样式1"/>
    <w:basedOn w:val="21"/>
    <w:next w:val="1"/>
    <w:uiPriority w:val="0"/>
  </w:style>
  <w:style w:type="paragraph" w:customStyle="1" w:styleId="147">
    <w:name w:val="无标题条"/>
    <w:next w:val="131"/>
    <w:qFormat/>
    <w:uiPriority w:val="0"/>
    <w:pPr>
      <w:jc w:val="both"/>
    </w:pPr>
    <w:rPr>
      <w:kern w:val="2"/>
      <w:sz w:val="21"/>
      <w:lang w:val="en-US" w:eastAsia="zh-CN" w:bidi="ar-SA"/>
    </w:rPr>
  </w:style>
  <w:style w:type="paragraph" w:customStyle="1" w:styleId="148">
    <w:name w:val="CM6"/>
    <w:basedOn w:val="1"/>
    <w:next w:val="1"/>
    <w:qFormat/>
    <w:uiPriority w:val="0"/>
    <w:pPr>
      <w:autoSpaceDE w:val="0"/>
      <w:autoSpaceDN w:val="0"/>
      <w:adjustRightInd w:val="0"/>
      <w:spacing w:line="313" w:lineRule="atLeast"/>
      <w:jc w:val="left"/>
    </w:pPr>
    <w:rPr>
      <w:kern w:val="0"/>
      <w:sz w:val="24"/>
    </w:rPr>
  </w:style>
  <w:style w:type="paragraph" w:customStyle="1" w:styleId="149">
    <w:name w:val="font7"/>
    <w:basedOn w:val="1"/>
    <w:qFormat/>
    <w:uiPriority w:val="0"/>
    <w:pPr>
      <w:widowControl/>
      <w:spacing w:before="100" w:beforeAutospacing="1" w:after="100" w:afterAutospacing="1"/>
      <w:jc w:val="left"/>
    </w:pPr>
    <w:rPr>
      <w:rFonts w:ascii="宋体" w:hAnsi="宋体"/>
      <w:kern w:val="0"/>
      <w:sz w:val="18"/>
    </w:rPr>
  </w:style>
  <w:style w:type="paragraph" w:customStyle="1" w:styleId="150">
    <w:name w:val="图表脚注"/>
    <w:next w:val="131"/>
    <w:qFormat/>
    <w:uiPriority w:val="0"/>
    <w:pPr>
      <w:ind w:left="300" w:leftChars="200" w:hanging="100" w:hangingChars="100"/>
      <w:jc w:val="both"/>
    </w:pPr>
    <w:rPr>
      <w:rFonts w:ascii="宋体"/>
      <w:kern w:val="2"/>
      <w:sz w:val="18"/>
      <w:lang w:val="en-US" w:eastAsia="zh-CN" w:bidi="ar-SA"/>
    </w:rPr>
  </w:style>
  <w:style w:type="paragraph" w:customStyle="1" w:styleId="151">
    <w:name w:val="目次、索引正文"/>
    <w:qFormat/>
    <w:uiPriority w:val="0"/>
    <w:pPr>
      <w:spacing w:line="320" w:lineRule="exact"/>
      <w:jc w:val="both"/>
    </w:pPr>
    <w:rPr>
      <w:rFonts w:ascii="宋体"/>
      <w:kern w:val="2"/>
      <w:sz w:val="21"/>
      <w:lang w:val="en-US" w:eastAsia="zh-CN" w:bidi="ar-SA"/>
    </w:rPr>
  </w:style>
  <w:style w:type="paragraph" w:customStyle="1" w:styleId="152">
    <w:name w:val="Char Char Char3 Char Char Char Char"/>
    <w:basedOn w:val="1"/>
    <w:qFormat/>
    <w:uiPriority w:val="0"/>
    <w:pPr>
      <w:spacing w:line="360" w:lineRule="auto"/>
    </w:pPr>
    <w:rPr>
      <w:sz w:val="24"/>
    </w:rPr>
  </w:style>
  <w:style w:type="paragraph" w:customStyle="1" w:styleId="153">
    <w:name w:val="Char2"/>
    <w:basedOn w:val="1"/>
    <w:qFormat/>
    <w:uiPriority w:val="0"/>
  </w:style>
  <w:style w:type="paragraph" w:customStyle="1" w:styleId="154">
    <w:name w:val="附录章标题"/>
    <w:next w:val="131"/>
    <w:qFormat/>
    <w:uiPriority w:val="0"/>
    <w:pPr>
      <w:wordWrap w:val="0"/>
      <w:overflowPunct w:val="0"/>
      <w:autoSpaceDE w:val="0"/>
      <w:spacing w:beforeLines="50" w:afterLines="50"/>
      <w:jc w:val="center"/>
      <w:textAlignment w:val="baseline"/>
      <w:outlineLvl w:val="1"/>
    </w:pPr>
    <w:rPr>
      <w:rFonts w:ascii="黑体" w:eastAsia="黑体"/>
      <w:kern w:val="21"/>
      <w:sz w:val="21"/>
      <w:lang w:val="en-US" w:eastAsia="zh-CN" w:bidi="ar-SA"/>
    </w:rPr>
  </w:style>
  <w:style w:type="paragraph" w:customStyle="1" w:styleId="155">
    <w:name w:val="缩进"/>
    <w:basedOn w:val="1"/>
    <w:qFormat/>
    <w:uiPriority w:val="0"/>
    <w:pPr>
      <w:adjustRightInd w:val="0"/>
      <w:spacing w:line="640" w:lineRule="atLeast"/>
      <w:ind w:firstLine="200" w:firstLineChars="200"/>
    </w:pPr>
    <w:rPr>
      <w:rFonts w:hint="eastAsia" w:ascii="宋体"/>
      <w:kern w:val="0"/>
      <w:sz w:val="32"/>
    </w:rPr>
  </w:style>
  <w:style w:type="paragraph" w:customStyle="1" w:styleId="156">
    <w:name w:val="附录三级条标题"/>
    <w:basedOn w:val="157"/>
    <w:next w:val="131"/>
    <w:qFormat/>
    <w:uiPriority w:val="0"/>
    <w:pPr>
      <w:tabs>
        <w:tab w:val="left" w:pos="2660"/>
      </w:tabs>
      <w:ind w:left="2660"/>
      <w:outlineLvl w:val="4"/>
    </w:pPr>
  </w:style>
  <w:style w:type="paragraph" w:customStyle="1" w:styleId="157">
    <w:name w:val="附录二级条标题"/>
    <w:basedOn w:val="158"/>
    <w:next w:val="131"/>
    <w:qFormat/>
    <w:uiPriority w:val="0"/>
    <w:pPr>
      <w:tabs>
        <w:tab w:val="left" w:pos="2240"/>
      </w:tabs>
      <w:ind w:left="2240"/>
      <w:outlineLvl w:val="3"/>
    </w:pPr>
  </w:style>
  <w:style w:type="paragraph" w:customStyle="1" w:styleId="158">
    <w:name w:val="附录一级条标题"/>
    <w:basedOn w:val="154"/>
    <w:next w:val="131"/>
    <w:qFormat/>
    <w:uiPriority w:val="0"/>
    <w:pPr>
      <w:tabs>
        <w:tab w:val="left" w:pos="1820"/>
      </w:tabs>
      <w:autoSpaceDN w:val="0"/>
      <w:ind w:left="1820" w:hanging="420"/>
      <w:outlineLvl w:val="2"/>
    </w:pPr>
  </w:style>
  <w:style w:type="paragraph" w:customStyle="1" w:styleId="159">
    <w:name w:val="图表目录1"/>
    <w:basedOn w:val="1"/>
    <w:next w:val="1"/>
    <w:qFormat/>
    <w:uiPriority w:val="0"/>
    <w:pPr>
      <w:ind w:left="840" w:leftChars="200" w:hanging="420" w:hangingChars="200"/>
    </w:pPr>
  </w:style>
  <w:style w:type="paragraph" w:customStyle="1" w:styleId="160">
    <w:name w:val="xl71"/>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kern w:val="0"/>
    </w:rPr>
  </w:style>
  <w:style w:type="paragraph" w:customStyle="1" w:styleId="161">
    <w:name w:val="标准书眉一"/>
    <w:qFormat/>
    <w:uiPriority w:val="0"/>
    <w:pPr>
      <w:jc w:val="both"/>
    </w:pPr>
    <w:rPr>
      <w:kern w:val="2"/>
      <w:sz w:val="21"/>
      <w:lang w:val="en-US" w:eastAsia="zh-CN" w:bidi="ar-SA"/>
    </w:rPr>
  </w:style>
  <w:style w:type="paragraph" w:customStyle="1" w:styleId="162">
    <w:name w:val="p0"/>
    <w:basedOn w:val="1"/>
    <w:qFormat/>
    <w:uiPriority w:val="0"/>
    <w:pPr>
      <w:widowControl/>
    </w:pPr>
    <w:rPr>
      <w:kern w:val="0"/>
    </w:rPr>
  </w:style>
  <w:style w:type="paragraph" w:customStyle="1" w:styleId="163">
    <w:name w:val="发布日期"/>
    <w:qFormat/>
    <w:uiPriority w:val="0"/>
    <w:rPr>
      <w:rFonts w:eastAsia="黑体"/>
      <w:kern w:val="2"/>
      <w:sz w:val="28"/>
      <w:lang w:val="en-US" w:eastAsia="zh-CN" w:bidi="ar-SA"/>
    </w:rPr>
  </w:style>
  <w:style w:type="paragraph" w:customStyle="1" w:styleId="164">
    <w:name w:val="Char Char Char Char1"/>
    <w:basedOn w:val="1"/>
    <w:qFormat/>
    <w:uiPriority w:val="0"/>
    <w:rPr>
      <w:rFonts w:eastAsia="方正仿宋_GBK"/>
      <w:sz w:val="32"/>
    </w:rPr>
  </w:style>
  <w:style w:type="paragraph" w:customStyle="1" w:styleId="165">
    <w:name w:val="xl43"/>
    <w:basedOn w:val="1"/>
    <w:qFormat/>
    <w:uiPriority w:val="0"/>
    <w:pPr>
      <w:widowControl/>
      <w:spacing w:before="100" w:beforeAutospacing="1" w:after="100" w:afterAutospacing="1"/>
      <w:jc w:val="center"/>
    </w:pPr>
    <w:rPr>
      <w:rFonts w:ascii="宋体" w:hAnsi="宋体"/>
      <w:kern w:val="0"/>
      <w:sz w:val="24"/>
    </w:rPr>
  </w:style>
  <w:style w:type="paragraph" w:customStyle="1" w:styleId="166">
    <w:name w:val="xl83"/>
    <w:basedOn w:val="1"/>
    <w:qFormat/>
    <w:uiPriority w:val="0"/>
    <w:pPr>
      <w:widowControl/>
      <w:pBdr>
        <w:top w:val="single" w:color="auto" w:sz="8" w:space="0"/>
        <w:left w:val="single" w:color="auto" w:sz="8" w:space="0"/>
        <w:bottom w:val="single" w:color="auto" w:sz="8" w:space="0"/>
      </w:pBdr>
      <w:spacing w:before="100" w:beforeAutospacing="1" w:after="100" w:afterAutospacing="1"/>
      <w:jc w:val="center"/>
    </w:pPr>
    <w:rPr>
      <w:rFonts w:ascii="宋体" w:hAnsi="宋体"/>
      <w:kern w:val="0"/>
    </w:rPr>
  </w:style>
  <w:style w:type="paragraph" w:customStyle="1" w:styleId="167">
    <w:name w:val="附录四级条标题"/>
    <w:basedOn w:val="156"/>
    <w:next w:val="131"/>
    <w:qFormat/>
    <w:uiPriority w:val="0"/>
    <w:pPr>
      <w:tabs>
        <w:tab w:val="left" w:pos="3080"/>
        <w:tab w:val="clear" w:pos="2660"/>
      </w:tabs>
      <w:ind w:left="3080"/>
      <w:outlineLvl w:val="5"/>
    </w:pPr>
  </w:style>
  <w:style w:type="paragraph" w:customStyle="1" w:styleId="168">
    <w:name w:val="标准书脚_奇数页"/>
    <w:qFormat/>
    <w:uiPriority w:val="0"/>
    <w:pPr>
      <w:spacing w:before="120"/>
      <w:jc w:val="right"/>
    </w:pPr>
    <w:rPr>
      <w:kern w:val="2"/>
      <w:sz w:val="18"/>
      <w:lang w:val="en-US" w:eastAsia="zh-CN" w:bidi="ar-SA"/>
    </w:rPr>
  </w:style>
  <w:style w:type="paragraph" w:customStyle="1" w:styleId="169">
    <w:name w:val="font0"/>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70">
    <w:name w:val="条文脚注"/>
    <w:basedOn w:val="117"/>
    <w:qFormat/>
    <w:uiPriority w:val="0"/>
    <w:pPr>
      <w:ind w:left="780" w:leftChars="200" w:hanging="360" w:hangingChars="200"/>
      <w:jc w:val="both"/>
    </w:pPr>
    <w:rPr>
      <w:rFonts w:ascii="宋体"/>
      <w:kern w:val="0"/>
    </w:rPr>
  </w:style>
  <w:style w:type="paragraph" w:customStyle="1" w:styleId="171">
    <w:name w:val="无间隔1"/>
    <w:qFormat/>
    <w:uiPriority w:val="0"/>
    <w:pPr>
      <w:widowControl w:val="0"/>
      <w:jc w:val="both"/>
    </w:pPr>
    <w:rPr>
      <w:rFonts w:ascii="Calibri" w:hAnsi="Calibri"/>
      <w:kern w:val="2"/>
      <w:sz w:val="21"/>
      <w:lang w:val="en-US" w:eastAsia="zh-CN" w:bidi="ar-SA"/>
    </w:rPr>
  </w:style>
  <w:style w:type="paragraph" w:customStyle="1" w:styleId="172">
    <w:name w:val="实施日期"/>
    <w:basedOn w:val="163"/>
    <w:qFormat/>
    <w:uiPriority w:val="0"/>
    <w:pPr>
      <w:jc w:val="right"/>
    </w:pPr>
  </w:style>
  <w:style w:type="paragraph" w:customStyle="1" w:styleId="173">
    <w:name w:val="附录图标题"/>
    <w:next w:val="131"/>
    <w:qFormat/>
    <w:uiPriority w:val="0"/>
    <w:pPr>
      <w:jc w:val="center"/>
    </w:pPr>
    <w:rPr>
      <w:rFonts w:ascii="黑体" w:eastAsia="黑体"/>
      <w:kern w:val="2"/>
      <w:sz w:val="21"/>
      <w:lang w:val="en-US" w:eastAsia="zh-CN" w:bidi="ar-SA"/>
    </w:rPr>
  </w:style>
  <w:style w:type="paragraph" w:customStyle="1" w:styleId="174">
    <w:name w:val="Char Char Char Char Char Char Char Char Char Char Char Char1"/>
    <w:basedOn w:val="1"/>
    <w:qFormat/>
    <w:uiPriority w:val="0"/>
    <w:pPr>
      <w:spacing w:line="240" w:lineRule="atLeast"/>
      <w:ind w:left="420" w:firstLine="420"/>
    </w:pPr>
    <w:rPr>
      <w:kern w:val="0"/>
    </w:rPr>
  </w:style>
  <w:style w:type="paragraph" w:customStyle="1" w:styleId="175">
    <w:name w:val="xl75"/>
    <w:basedOn w:val="1"/>
    <w:qFormat/>
    <w:uiPriority w:val="0"/>
    <w:pPr>
      <w:widowControl/>
      <w:pBdr>
        <w:top w:val="single" w:color="auto" w:sz="8" w:space="0"/>
        <w:left w:val="single" w:color="auto" w:sz="8" w:space="0"/>
      </w:pBdr>
      <w:spacing w:before="100" w:beforeAutospacing="1" w:after="100" w:afterAutospacing="1"/>
      <w:jc w:val="center"/>
    </w:pPr>
    <w:rPr>
      <w:rFonts w:ascii="宋体" w:hAnsi="宋体"/>
      <w:kern w:val="0"/>
    </w:rPr>
  </w:style>
  <w:style w:type="paragraph" w:customStyle="1" w:styleId="176">
    <w:name w:val="样式 标题 2标题 y2h2l22nd levelTitre22Header 2节标题 1.1节标题一级节名..."/>
    <w:basedOn w:val="3"/>
    <w:qFormat/>
    <w:uiPriority w:val="0"/>
    <w:pPr>
      <w:spacing w:line="413" w:lineRule="auto"/>
    </w:pPr>
  </w:style>
  <w:style w:type="paragraph" w:customStyle="1" w:styleId="177">
    <w:name w:val="封面标准英文名称"/>
    <w:qFormat/>
    <w:uiPriority w:val="0"/>
    <w:pPr>
      <w:widowControl w:val="0"/>
      <w:spacing w:before="370" w:line="400" w:lineRule="exact"/>
      <w:jc w:val="center"/>
    </w:pPr>
    <w:rPr>
      <w:kern w:val="2"/>
      <w:sz w:val="28"/>
      <w:lang w:val="en-US" w:eastAsia="zh-CN" w:bidi="ar-SA"/>
    </w:rPr>
  </w:style>
  <w:style w:type="paragraph" w:customStyle="1" w:styleId="178">
    <w:name w:val="xl76"/>
    <w:basedOn w:val="1"/>
    <w:qFormat/>
    <w:uiPriority w:val="0"/>
    <w:pPr>
      <w:widowControl/>
      <w:pBdr>
        <w:left w:val="single" w:color="auto" w:sz="8" w:space="0"/>
        <w:bottom w:val="single" w:color="auto" w:sz="8" w:space="0"/>
      </w:pBdr>
      <w:spacing w:before="100" w:beforeAutospacing="1" w:after="100" w:afterAutospacing="1"/>
      <w:jc w:val="center"/>
    </w:pPr>
    <w:rPr>
      <w:rFonts w:ascii="宋体" w:hAnsi="宋体"/>
      <w:kern w:val="0"/>
    </w:rPr>
  </w:style>
  <w:style w:type="paragraph" w:customStyle="1" w:styleId="179">
    <w:name w:val="xl77"/>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kern w:val="0"/>
    </w:rPr>
  </w:style>
  <w:style w:type="paragraph" w:customStyle="1" w:styleId="180">
    <w:name w:val="样式 章标题 + 段前: 0.5 行 段后: 0.5 行"/>
    <w:basedOn w:val="145"/>
    <w:qFormat/>
    <w:uiPriority w:val="0"/>
    <w:pPr>
      <w:tabs>
        <w:tab w:val="left" w:pos="432"/>
      </w:tabs>
      <w:spacing w:beforeLines="0" w:afterLines="0"/>
      <w:ind w:left="432" w:hanging="432"/>
    </w:pPr>
  </w:style>
  <w:style w:type="paragraph" w:customStyle="1" w:styleId="181">
    <w:name w:val="xl85"/>
    <w:basedOn w:val="1"/>
    <w:qFormat/>
    <w:uiPriority w:val="0"/>
    <w:pPr>
      <w:widowControl/>
      <w:pBdr>
        <w:top w:val="single" w:color="auto" w:sz="8" w:space="0"/>
      </w:pBdr>
      <w:spacing w:before="100" w:beforeAutospacing="1" w:after="100" w:afterAutospacing="1"/>
      <w:jc w:val="center"/>
    </w:pPr>
    <w:rPr>
      <w:rFonts w:ascii="宋体" w:hAnsi="宋体"/>
      <w:kern w:val="0"/>
    </w:rPr>
  </w:style>
  <w:style w:type="paragraph" w:customStyle="1" w:styleId="182">
    <w:name w:val="表格内容"/>
    <w:basedOn w:val="1"/>
    <w:qFormat/>
    <w:uiPriority w:val="0"/>
    <w:pPr>
      <w:jc w:val="center"/>
    </w:pPr>
    <w:rPr>
      <w:sz w:val="24"/>
    </w:rPr>
  </w:style>
  <w:style w:type="paragraph" w:customStyle="1" w:styleId="183">
    <w:name w:val="封面标准代替信息"/>
    <w:basedOn w:val="137"/>
    <w:qFormat/>
    <w:uiPriority w:val="0"/>
    <w:pPr>
      <w:spacing w:before="57"/>
    </w:pPr>
    <w:rPr>
      <w:rFonts w:ascii="宋体"/>
      <w:sz w:val="21"/>
    </w:rPr>
  </w:style>
  <w:style w:type="paragraph" w:customStyle="1" w:styleId="184">
    <w:name w:val="修订1"/>
    <w:qFormat/>
    <w:uiPriority w:val="0"/>
    <w:rPr>
      <w:kern w:val="2"/>
      <w:sz w:val="21"/>
      <w:lang w:val="en-US" w:eastAsia="zh-CN" w:bidi="ar-SA"/>
    </w:rPr>
  </w:style>
  <w:style w:type="paragraph" w:customStyle="1" w:styleId="185">
    <w:name w:val="字母编号列项（一级）"/>
    <w:qFormat/>
    <w:uiPriority w:val="0"/>
    <w:pPr>
      <w:ind w:left="840" w:leftChars="200" w:hanging="420" w:hangingChars="200"/>
      <w:jc w:val="both"/>
    </w:pPr>
    <w:rPr>
      <w:rFonts w:ascii="宋体"/>
      <w:kern w:val="2"/>
      <w:sz w:val="21"/>
      <w:lang w:val="en-US" w:eastAsia="zh-CN" w:bidi="ar-SA"/>
    </w:rPr>
  </w:style>
  <w:style w:type="paragraph" w:customStyle="1" w:styleId="186">
    <w:name w:val="封面标准文稿编辑信息"/>
    <w:qFormat/>
    <w:uiPriority w:val="0"/>
    <w:pPr>
      <w:spacing w:before="180" w:line="180" w:lineRule="exact"/>
      <w:jc w:val="center"/>
    </w:pPr>
    <w:rPr>
      <w:rFonts w:ascii="宋体"/>
      <w:kern w:val="2"/>
      <w:sz w:val="21"/>
      <w:lang w:val="en-US" w:eastAsia="zh-CN" w:bidi="ar-SA"/>
    </w:rPr>
  </w:style>
  <w:style w:type="paragraph" w:customStyle="1" w:styleId="187">
    <w:name w:val="xl80"/>
    <w:basedOn w:val="1"/>
    <w:qFormat/>
    <w:uiPriority w:val="0"/>
    <w:pPr>
      <w:widowControl/>
      <w:pBdr>
        <w:right w:val="single" w:color="auto" w:sz="8" w:space="0"/>
      </w:pBdr>
      <w:spacing w:before="100" w:beforeAutospacing="1" w:after="100" w:afterAutospacing="1"/>
      <w:jc w:val="center"/>
    </w:pPr>
    <w:rPr>
      <w:rFonts w:ascii="宋体" w:hAnsi="宋体"/>
      <w:kern w:val="0"/>
    </w:rPr>
  </w:style>
  <w:style w:type="paragraph" w:customStyle="1" w:styleId="188">
    <w:name w:val="参考文献、索引标题"/>
    <w:basedOn w:val="130"/>
    <w:next w:val="1"/>
    <w:qFormat/>
    <w:uiPriority w:val="0"/>
    <w:pPr>
      <w:spacing w:after="200"/>
    </w:pPr>
    <w:rPr>
      <w:sz w:val="21"/>
    </w:rPr>
  </w:style>
  <w:style w:type="paragraph" w:customStyle="1" w:styleId="189">
    <w:name w:val="正文首行缩进 21"/>
    <w:basedOn w:val="1"/>
    <w:qFormat/>
    <w:uiPriority w:val="0"/>
    <w:pPr>
      <w:adjustRightInd w:val="0"/>
      <w:spacing w:line="440" w:lineRule="exact"/>
      <w:ind w:firstLine="510"/>
    </w:pPr>
    <w:rPr>
      <w:sz w:val="28"/>
    </w:rPr>
  </w:style>
  <w:style w:type="paragraph" w:customStyle="1" w:styleId="190">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91">
    <w:name w:val="封面正文"/>
    <w:qFormat/>
    <w:uiPriority w:val="0"/>
    <w:pPr>
      <w:jc w:val="both"/>
    </w:pPr>
    <w:rPr>
      <w:kern w:val="2"/>
      <w:sz w:val="21"/>
      <w:lang w:val="en-US" w:eastAsia="zh-CN" w:bidi="ar-SA"/>
    </w:rPr>
  </w:style>
  <w:style w:type="paragraph" w:customStyle="1" w:styleId="192">
    <w:name w:val="xl74"/>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kern w:val="0"/>
    </w:rPr>
  </w:style>
  <w:style w:type="paragraph" w:customStyle="1" w:styleId="193">
    <w:name w:val="xl84"/>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pPr>
    <w:rPr>
      <w:rFonts w:ascii="宋体" w:hAnsi="宋体"/>
      <w:kern w:val="0"/>
    </w:rPr>
  </w:style>
  <w:style w:type="paragraph" w:customStyle="1" w:styleId="194">
    <w:name w:val="Char Char Char Char Char Char Char Char Char Char Char Char2"/>
    <w:basedOn w:val="1"/>
    <w:qFormat/>
    <w:uiPriority w:val="0"/>
    <w:pPr>
      <w:spacing w:line="240" w:lineRule="atLeast"/>
      <w:ind w:left="420" w:firstLine="420"/>
    </w:pPr>
    <w:rPr>
      <w:kern w:val="0"/>
    </w:rPr>
  </w:style>
  <w:style w:type="paragraph" w:customStyle="1" w:styleId="195">
    <w:name w:val="Char"/>
    <w:basedOn w:val="1"/>
    <w:qFormat/>
    <w:uiPriority w:val="0"/>
    <w:pPr>
      <w:spacing w:line="240" w:lineRule="atLeast"/>
      <w:ind w:left="420" w:firstLine="420"/>
    </w:pPr>
    <w:rPr>
      <w:kern w:val="0"/>
    </w:rPr>
  </w:style>
  <w:style w:type="paragraph" w:customStyle="1" w:styleId="196">
    <w:name w:val="三级无标题条"/>
    <w:basedOn w:val="1"/>
    <w:qFormat/>
    <w:uiPriority w:val="0"/>
    <w:pPr>
      <w:tabs>
        <w:tab w:val="left" w:pos="1008"/>
      </w:tabs>
      <w:ind w:left="1008" w:hanging="1008"/>
    </w:pPr>
  </w:style>
  <w:style w:type="paragraph" w:customStyle="1" w:styleId="197">
    <w:name w:val="文献分类号"/>
    <w:qFormat/>
    <w:uiPriority w:val="0"/>
    <w:pPr>
      <w:widowControl w:val="0"/>
      <w:textAlignment w:val="center"/>
    </w:pPr>
    <w:rPr>
      <w:rFonts w:eastAsia="黑体"/>
      <w:kern w:val="2"/>
      <w:sz w:val="21"/>
      <w:lang w:val="en-US" w:eastAsia="zh-CN" w:bidi="ar-SA"/>
    </w:rPr>
  </w:style>
  <w:style w:type="paragraph" w:customStyle="1" w:styleId="198">
    <w:name w:val="xl81"/>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kern w:val="0"/>
    </w:rPr>
  </w:style>
  <w:style w:type="paragraph" w:customStyle="1" w:styleId="199">
    <w:name w:val="发布部门"/>
    <w:next w:val="131"/>
    <w:qFormat/>
    <w:uiPriority w:val="0"/>
    <w:pPr>
      <w:jc w:val="center"/>
    </w:pPr>
    <w:rPr>
      <w:rFonts w:ascii="宋体"/>
      <w:b/>
      <w:spacing w:val="20"/>
      <w:w w:val="135"/>
      <w:kern w:val="2"/>
      <w:sz w:val="36"/>
      <w:lang w:val="en-US" w:eastAsia="zh-CN" w:bidi="ar-SA"/>
    </w:rPr>
  </w:style>
  <w:style w:type="paragraph" w:customStyle="1" w:styleId="200">
    <w:name w:val="封面标准文稿类别"/>
    <w:qFormat/>
    <w:uiPriority w:val="0"/>
    <w:pPr>
      <w:spacing w:before="440" w:line="400" w:lineRule="exact"/>
      <w:jc w:val="center"/>
    </w:pPr>
    <w:rPr>
      <w:rFonts w:ascii="宋体"/>
      <w:kern w:val="2"/>
      <w:sz w:val="24"/>
      <w:lang w:val="en-US" w:eastAsia="zh-CN" w:bidi="ar-SA"/>
    </w:rPr>
  </w:style>
  <w:style w:type="paragraph" w:customStyle="1" w:styleId="201">
    <w:name w:val="标准书脚_偶数页"/>
    <w:qFormat/>
    <w:uiPriority w:val="0"/>
    <w:pPr>
      <w:spacing w:before="120"/>
    </w:pPr>
    <w:rPr>
      <w:kern w:val="2"/>
      <w:sz w:val="18"/>
      <w:lang w:val="en-US" w:eastAsia="zh-CN" w:bidi="ar-SA"/>
    </w:rPr>
  </w:style>
  <w:style w:type="paragraph" w:customStyle="1" w:styleId="202">
    <w:name w:val="样式 标题 1h11st levelSection Headl1章标题 1featurehead标题 1，宋体，三..."/>
    <w:basedOn w:val="3"/>
    <w:qFormat/>
    <w:uiPriority w:val="0"/>
    <w:pPr>
      <w:numPr>
        <w:ilvl w:val="0"/>
        <w:numId w:val="0"/>
      </w:numPr>
      <w:spacing w:before="300"/>
      <w:ind w:left="567" w:hanging="567"/>
    </w:pPr>
    <w:rPr>
      <w:rFonts w:ascii="华文细黑" w:hAnsi="华文细黑" w:eastAsia="华文细黑"/>
    </w:rPr>
  </w:style>
  <w:style w:type="paragraph" w:customStyle="1" w:styleId="203">
    <w:name w:val="附录五级条标题"/>
    <w:basedOn w:val="167"/>
    <w:next w:val="131"/>
    <w:qFormat/>
    <w:uiPriority w:val="0"/>
    <w:pPr>
      <w:tabs>
        <w:tab w:val="left" w:pos="1820"/>
        <w:tab w:val="left" w:pos="2240"/>
        <w:tab w:val="left" w:pos="2660"/>
        <w:tab w:val="clear" w:pos="3080"/>
      </w:tabs>
      <w:outlineLvl w:val="6"/>
    </w:pPr>
  </w:style>
  <w:style w:type="paragraph" w:customStyle="1" w:styleId="204">
    <w:name w:val="Char Char Char Char Char Char Char Char Char Char Char Char"/>
    <w:basedOn w:val="1"/>
    <w:qFormat/>
    <w:uiPriority w:val="0"/>
    <w:pPr>
      <w:spacing w:line="240" w:lineRule="atLeast"/>
      <w:ind w:left="420" w:firstLine="420"/>
    </w:pPr>
    <w:rPr>
      <w:kern w:val="0"/>
    </w:rPr>
  </w:style>
  <w:style w:type="paragraph" w:customStyle="1" w:styleId="205">
    <w:name w:val="Char Char Char3 Char Char Char Char2"/>
    <w:basedOn w:val="1"/>
    <w:qFormat/>
    <w:uiPriority w:val="0"/>
    <w:pPr>
      <w:spacing w:line="360" w:lineRule="auto"/>
    </w:pPr>
    <w:rPr>
      <w:sz w:val="24"/>
    </w:rPr>
  </w:style>
  <w:style w:type="paragraph" w:customStyle="1" w:styleId="206">
    <w:name w:val="样式 标题 3条标题1.1.1h33rd level3Head 3sect1.2.3H3level_3PIM ..."/>
    <w:basedOn w:val="4"/>
    <w:qFormat/>
    <w:uiPriority w:val="0"/>
    <w:pPr>
      <w:numPr>
        <w:ilvl w:val="0"/>
        <w:numId w:val="0"/>
      </w:numPr>
      <w:tabs>
        <w:tab w:val="left" w:pos="709"/>
        <w:tab w:val="clear" w:pos="624"/>
        <w:tab w:val="clear" w:pos="3970"/>
      </w:tabs>
      <w:spacing w:beforeLines="100" w:afterLines="100" w:line="240" w:lineRule="auto"/>
      <w:ind w:left="709" w:hanging="709"/>
    </w:pPr>
    <w:rPr>
      <w:b/>
      <w:kern w:val="28"/>
      <w:sz w:val="30"/>
    </w:rPr>
  </w:style>
  <w:style w:type="paragraph" w:customStyle="1" w:styleId="207">
    <w:name w:val="附录表标题"/>
    <w:next w:val="131"/>
    <w:qFormat/>
    <w:uiPriority w:val="0"/>
    <w:pPr>
      <w:jc w:val="center"/>
      <w:textAlignment w:val="baseline"/>
    </w:pPr>
    <w:rPr>
      <w:rFonts w:ascii="黑体" w:eastAsia="黑体"/>
      <w:kern w:val="21"/>
      <w:sz w:val="21"/>
      <w:lang w:val="en-US" w:eastAsia="zh-CN" w:bidi="ar-SA"/>
    </w:rPr>
  </w:style>
  <w:style w:type="paragraph" w:customStyle="1" w:styleId="208">
    <w:name w:val="Char Char18"/>
    <w:basedOn w:val="1"/>
    <w:qFormat/>
    <w:uiPriority w:val="0"/>
    <w:pPr>
      <w:spacing w:line="400" w:lineRule="exact"/>
    </w:pPr>
    <w:rPr>
      <w:rFonts w:ascii="Tahoma" w:hAnsi="Tahoma"/>
      <w:sz w:val="24"/>
    </w:rPr>
  </w:style>
  <w:style w:type="paragraph" w:customStyle="1" w:styleId="209">
    <w:name w:val="xl72"/>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kern w:val="0"/>
    </w:rPr>
  </w:style>
  <w:style w:type="paragraph" w:customStyle="1" w:styleId="210">
    <w:name w:val="标题11"/>
    <w:qFormat/>
    <w:uiPriority w:val="0"/>
    <w:pPr>
      <w:spacing w:before="240" w:after="240" w:line="360" w:lineRule="auto"/>
      <w:ind w:left="425" w:hanging="425"/>
      <w:outlineLvl w:val="0"/>
    </w:pPr>
    <w:rPr>
      <w:rFonts w:ascii="黑体" w:eastAsia="黑体"/>
      <w:kern w:val="44"/>
      <w:sz w:val="30"/>
      <w:lang w:val="en-US" w:eastAsia="zh-CN" w:bidi="ar-SA"/>
    </w:rPr>
  </w:style>
  <w:style w:type="paragraph" w:customStyle="1" w:styleId="211">
    <w:name w:val="样式2"/>
    <w:basedOn w:val="2"/>
    <w:next w:val="1"/>
    <w:uiPriority w:val="0"/>
  </w:style>
  <w:style w:type="paragraph" w:customStyle="1" w:styleId="212">
    <w:name w:val="四级无标题条"/>
    <w:basedOn w:val="1"/>
    <w:qFormat/>
    <w:uiPriority w:val="0"/>
    <w:pPr>
      <w:tabs>
        <w:tab w:val="left" w:pos="1152"/>
      </w:tabs>
      <w:ind w:left="1152" w:hanging="1152"/>
    </w:pPr>
  </w:style>
  <w:style w:type="paragraph" w:styleId="213">
    <w:name w:val="List Paragraph"/>
    <w:basedOn w:val="1"/>
    <w:qFormat/>
    <w:uiPriority w:val="0"/>
    <w:pPr>
      <w:ind w:firstLine="420" w:firstLineChars="200"/>
    </w:pPr>
    <w:rPr>
      <w:rFonts w:hint="eastAsia"/>
    </w:rPr>
  </w:style>
  <w:style w:type="paragraph" w:customStyle="1" w:styleId="214">
    <w:name w:val="正文缩进1"/>
    <w:basedOn w:val="1"/>
    <w:qFormat/>
    <w:uiPriority w:val="0"/>
    <w:pPr>
      <w:spacing w:line="400" w:lineRule="exact"/>
      <w:ind w:firstLine="567"/>
    </w:pPr>
    <w:rPr>
      <w:sz w:val="28"/>
    </w:rPr>
  </w:style>
  <w:style w:type="paragraph" w:customStyle="1" w:styleId="215">
    <w:name w:val="注×："/>
    <w:qFormat/>
    <w:uiPriority w:val="0"/>
    <w:pPr>
      <w:widowControl w:val="0"/>
      <w:tabs>
        <w:tab w:val="left" w:pos="630"/>
        <w:tab w:val="left" w:pos="900"/>
      </w:tabs>
      <w:autoSpaceDE w:val="0"/>
      <w:autoSpaceDN w:val="0"/>
      <w:ind w:left="900" w:hanging="500"/>
      <w:jc w:val="both"/>
    </w:pPr>
    <w:rPr>
      <w:rFonts w:ascii="宋体"/>
      <w:kern w:val="2"/>
      <w:sz w:val="18"/>
      <w:lang w:val="en-US" w:eastAsia="zh-CN" w:bidi="ar-SA"/>
    </w:rPr>
  </w:style>
  <w:style w:type="paragraph" w:customStyle="1" w:styleId="216">
    <w:name w:val="font5"/>
    <w:basedOn w:val="1"/>
    <w:qFormat/>
    <w:uiPriority w:val="0"/>
    <w:pPr>
      <w:widowControl/>
      <w:spacing w:before="100" w:beforeAutospacing="1" w:after="100" w:afterAutospacing="1"/>
      <w:jc w:val="left"/>
    </w:pPr>
    <w:rPr>
      <w:color w:val="000000"/>
      <w:kern w:val="0"/>
    </w:rPr>
  </w:style>
  <w:style w:type="paragraph" w:customStyle="1" w:styleId="217">
    <w:name w:val="默认段落字体 Para Char"/>
    <w:basedOn w:val="1"/>
    <w:qFormat/>
    <w:uiPriority w:val="0"/>
    <w:pPr>
      <w:spacing w:line="400" w:lineRule="exact"/>
    </w:pPr>
    <w:rPr>
      <w:rFonts w:ascii="Tahoma" w:hAnsi="Tahoma"/>
      <w:sz w:val="24"/>
    </w:rPr>
  </w:style>
  <w:style w:type="paragraph" w:customStyle="1" w:styleId="218">
    <w:name w:val="xl79"/>
    <w:basedOn w:val="1"/>
    <w:qFormat/>
    <w:uiPriority w:val="0"/>
    <w:pPr>
      <w:widowControl/>
      <w:pBdr>
        <w:left w:val="single" w:color="auto" w:sz="8" w:space="0"/>
      </w:pBdr>
      <w:spacing w:before="100" w:beforeAutospacing="1" w:after="100" w:afterAutospacing="1"/>
      <w:jc w:val="center"/>
    </w:pPr>
    <w:rPr>
      <w:rFonts w:ascii="宋体" w:hAnsi="宋体"/>
      <w:kern w:val="0"/>
    </w:rPr>
  </w:style>
  <w:style w:type="paragraph" w:customStyle="1" w:styleId="219">
    <w:name w:val="标准标志"/>
    <w:next w:val="1"/>
    <w:qFormat/>
    <w:uiPriority w:val="0"/>
    <w:pPr>
      <w:shd w:val="solid" w:color="FFFFFF" w:fill="FFFFFF"/>
      <w:spacing w:line="0" w:lineRule="atLeast"/>
      <w:jc w:val="right"/>
    </w:pPr>
    <w:rPr>
      <w:b/>
      <w:w w:val="130"/>
      <w:kern w:val="2"/>
      <w:sz w:val="96"/>
      <w:lang w:val="en-US" w:eastAsia="zh-CN" w:bidi="ar-SA"/>
    </w:rPr>
  </w:style>
  <w:style w:type="paragraph" w:customStyle="1" w:styleId="220">
    <w:name w:val="数字编号列项（二级）"/>
    <w:qFormat/>
    <w:uiPriority w:val="0"/>
    <w:pPr>
      <w:ind w:left="1260" w:leftChars="400" w:hanging="420" w:hangingChars="200"/>
      <w:jc w:val="both"/>
    </w:pPr>
    <w:rPr>
      <w:rFonts w:ascii="宋体"/>
      <w:kern w:val="2"/>
      <w:sz w:val="21"/>
      <w:lang w:val="en-US" w:eastAsia="zh-CN" w:bidi="ar-SA"/>
    </w:rPr>
  </w:style>
  <w:style w:type="paragraph" w:customStyle="1" w:styleId="221">
    <w:name w:val="Char2 Char Char Char Char Char Char1"/>
    <w:basedOn w:val="1"/>
    <w:qFormat/>
    <w:uiPriority w:val="0"/>
    <w:pPr>
      <w:spacing w:line="240" w:lineRule="atLeast"/>
      <w:ind w:left="420" w:firstLine="420"/>
    </w:pPr>
  </w:style>
  <w:style w:type="paragraph" w:customStyle="1" w:styleId="222">
    <w:name w:val="xl78"/>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kern w:val="0"/>
    </w:rPr>
  </w:style>
  <w:style w:type="paragraph" w:customStyle="1" w:styleId="223">
    <w:name w:val="列项·"/>
    <w:qFormat/>
    <w:uiPriority w:val="0"/>
    <w:pPr>
      <w:tabs>
        <w:tab w:val="left" w:pos="840"/>
        <w:tab w:val="left" w:pos="1140"/>
      </w:tabs>
      <w:jc w:val="both"/>
    </w:pPr>
    <w:rPr>
      <w:rFonts w:ascii="宋体"/>
      <w:kern w:val="2"/>
      <w:sz w:val="21"/>
      <w:lang w:val="en-US" w:eastAsia="zh-CN" w:bidi="ar-SA"/>
    </w:rPr>
  </w:style>
  <w:style w:type="paragraph" w:customStyle="1" w:styleId="224">
    <w:name w:val="一级无标题条"/>
    <w:basedOn w:val="1"/>
    <w:qFormat/>
    <w:uiPriority w:val="0"/>
    <w:pPr>
      <w:tabs>
        <w:tab w:val="left" w:pos="0"/>
      </w:tabs>
    </w:pPr>
  </w:style>
  <w:style w:type="paragraph" w:customStyle="1" w:styleId="225">
    <w:name w:val="修订2"/>
    <w:semiHidden/>
    <w:qFormat/>
    <w:uiPriority w:val="99"/>
    <w:rPr>
      <w:kern w:val="2"/>
      <w:sz w:val="21"/>
      <w:lang w:val="en-US" w:eastAsia="zh-CN" w:bidi="ar-SA"/>
    </w:rPr>
  </w:style>
  <w:style w:type="paragraph" w:customStyle="1" w:styleId="226">
    <w:name w:val="标准称谓"/>
    <w:next w:val="1"/>
    <w:qFormat/>
    <w:uiPriority w:val="0"/>
    <w:pPr>
      <w:widowControl w:val="0"/>
      <w:kinsoku w:val="0"/>
      <w:overflowPunct w:val="0"/>
      <w:autoSpaceDE w:val="0"/>
      <w:autoSpaceDN w:val="0"/>
      <w:spacing w:line="0" w:lineRule="atLeast"/>
      <w:jc w:val="distribute"/>
    </w:pPr>
    <w:rPr>
      <w:rFonts w:ascii="宋体"/>
      <w:b/>
      <w:spacing w:val="20"/>
      <w:w w:val="148"/>
      <w:kern w:val="2"/>
      <w:sz w:val="52"/>
      <w:lang w:val="en-US" w:eastAsia="zh-CN" w:bidi="ar-SA"/>
    </w:rPr>
  </w:style>
  <w:style w:type="paragraph" w:customStyle="1" w:styleId="227">
    <w:name w:val="列项——"/>
    <w:qFormat/>
    <w:uiPriority w:val="0"/>
    <w:pPr>
      <w:widowControl w:val="0"/>
      <w:tabs>
        <w:tab w:val="left" w:pos="1140"/>
      </w:tabs>
      <w:ind w:left="425" w:hanging="425"/>
      <w:jc w:val="both"/>
    </w:pPr>
    <w:rPr>
      <w:rFonts w:ascii="宋体"/>
      <w:kern w:val="2"/>
      <w:sz w:val="21"/>
      <w:lang w:val="en-US" w:eastAsia="zh-CN" w:bidi="ar-SA"/>
    </w:rPr>
  </w:style>
  <w:style w:type="paragraph" w:customStyle="1" w:styleId="228">
    <w:name w:val="其他发布部门"/>
    <w:basedOn w:val="1"/>
    <w:qFormat/>
    <w:uiPriority w:val="0"/>
    <w:pPr>
      <w:widowControl/>
      <w:spacing w:line="0" w:lineRule="atLeast"/>
      <w:jc w:val="center"/>
    </w:pPr>
    <w:rPr>
      <w:rFonts w:ascii="黑体" w:eastAsia="黑体"/>
      <w:spacing w:val="20"/>
      <w:w w:val="135"/>
      <w:kern w:val="0"/>
      <w:sz w:val="36"/>
    </w:rPr>
  </w:style>
  <w:style w:type="paragraph" w:customStyle="1" w:styleId="229">
    <w:name w:val="样式 首行缩进:  2 字符"/>
    <w:basedOn w:val="1"/>
    <w:qFormat/>
    <w:uiPriority w:val="0"/>
    <w:pPr>
      <w:spacing w:line="360" w:lineRule="auto"/>
      <w:ind w:firstLine="560" w:firstLineChars="200"/>
    </w:pPr>
    <w:rPr>
      <w:rFonts w:eastAsia="仿宋_GB2312"/>
      <w:sz w:val="28"/>
    </w:rPr>
  </w:style>
  <w:style w:type="paragraph" w:customStyle="1" w:styleId="230">
    <w:name w:val="二级无标题条"/>
    <w:basedOn w:val="1"/>
    <w:qFormat/>
    <w:uiPriority w:val="0"/>
    <w:pPr>
      <w:tabs>
        <w:tab w:val="left" w:pos="864"/>
      </w:tabs>
      <w:ind w:left="864" w:hanging="864"/>
    </w:pPr>
  </w:style>
  <w:style w:type="paragraph" w:customStyle="1" w:styleId="231">
    <w:name w:val="xl82"/>
    <w:basedOn w:val="1"/>
    <w:qFormat/>
    <w:uiPriority w:val="0"/>
    <w:pPr>
      <w:widowControl/>
      <w:pBdr>
        <w:bottom w:val="single" w:color="auto" w:sz="8" w:space="0"/>
      </w:pBdr>
      <w:spacing w:before="100" w:beforeAutospacing="1" w:after="100" w:afterAutospacing="1"/>
      <w:jc w:val="center"/>
    </w:pPr>
    <w:rPr>
      <w:rFonts w:ascii="宋体" w:hAnsi="宋体"/>
      <w:kern w:val="0"/>
    </w:rPr>
  </w:style>
  <w:style w:type="paragraph" w:styleId="232">
    <w:name w:val=""/>
    <w:basedOn w:val="2"/>
    <w:next w:val="1"/>
    <w:qFormat/>
    <w:uiPriority w:val="39"/>
    <w:pPr>
      <w:widowControl/>
      <w:tabs>
        <w:tab w:val="clear" w:pos="3970"/>
      </w:tabs>
      <w:spacing w:before="480" w:after="0" w:line="276" w:lineRule="auto"/>
      <w:jc w:val="left"/>
      <w:outlineLvl w:val="9"/>
    </w:pPr>
    <w:rPr>
      <w:rFonts w:ascii="Cambria" w:hAnsi="Cambria" w:eastAsia="宋体" w:cs="Times New Roman"/>
      <w:b/>
      <w:bCs/>
      <w:color w:val="365F91"/>
      <w:kern w:val="0"/>
      <w:sz w:val="28"/>
      <w:szCs w:val="28"/>
      <w:lang w:val="en-US" w:eastAsia="zh-CN"/>
    </w:rPr>
  </w:style>
  <w:style w:type="paragraph" w:customStyle="1" w:styleId="233">
    <w:name w:val="Default"/>
    <w:qFormat/>
    <w:uiPriority w:val="0"/>
    <w:pPr>
      <w:widowControl w:val="0"/>
      <w:autoSpaceDE w:val="0"/>
      <w:autoSpaceDN w:val="0"/>
      <w:adjustRightInd w:val="0"/>
    </w:pPr>
    <w:rPr>
      <w:rFonts w:ascii="仿宋_GB2312" w:eastAsia="仿宋_GB2312"/>
      <w:color w:val="000000"/>
      <w:sz w:val="24"/>
      <w:lang w:val="en-US" w:eastAsia="zh-CN" w:bidi="ar-SA"/>
    </w:rPr>
  </w:style>
  <w:style w:type="paragraph" w:customStyle="1" w:styleId="234">
    <w:name w:val="五级无标题条"/>
    <w:basedOn w:val="1"/>
    <w:qFormat/>
    <w:uiPriority w:val="0"/>
    <w:pPr>
      <w:tabs>
        <w:tab w:val="left" w:pos="1296"/>
      </w:tabs>
      <w:ind w:left="1296" w:hanging="1296"/>
    </w:pPr>
  </w:style>
  <w:style w:type="paragraph" w:customStyle="1" w:styleId="235">
    <w:name w:val="xl3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4"/>
    </w:rPr>
  </w:style>
  <w:style w:type="paragraph" w:customStyle="1" w:styleId="236">
    <w:name w:val="正文图标题"/>
    <w:next w:val="131"/>
    <w:qFormat/>
    <w:uiPriority w:val="0"/>
    <w:pPr>
      <w:jc w:val="center"/>
    </w:pPr>
    <w:rPr>
      <w:rFonts w:ascii="黑体" w:eastAsia="黑体"/>
      <w:kern w:val="2"/>
      <w:sz w:val="21"/>
      <w:lang w:val="en-US" w:eastAsia="zh-CN" w:bidi="ar-SA"/>
    </w:rPr>
  </w:style>
  <w:style w:type="paragraph" w:customStyle="1" w:styleId="237">
    <w:name w:val="其他标准称谓"/>
    <w:qFormat/>
    <w:uiPriority w:val="0"/>
    <w:pPr>
      <w:spacing w:line="0" w:lineRule="atLeast"/>
      <w:jc w:val="distribute"/>
    </w:pPr>
    <w:rPr>
      <w:rFonts w:ascii="黑体" w:hAnsi="宋体" w:eastAsia="黑体"/>
      <w:kern w:val="2"/>
      <w:sz w:val="52"/>
      <w:lang w:val="en-US" w:eastAsia="zh-CN" w:bidi="ar-SA"/>
    </w:rPr>
  </w:style>
  <w:style w:type="paragraph" w:customStyle="1" w:styleId="238">
    <w:name w:val="xl70"/>
    <w:basedOn w:val="1"/>
    <w:qFormat/>
    <w:uiPriority w:val="0"/>
    <w:pPr>
      <w:widowControl/>
      <w:pBdr>
        <w:bottom w:val="single" w:color="auto" w:sz="8" w:space="0"/>
        <w:right w:val="single" w:color="auto" w:sz="8" w:space="0"/>
      </w:pBdr>
      <w:spacing w:before="100" w:beforeAutospacing="1" w:after="100" w:afterAutospacing="1"/>
      <w:jc w:val="center"/>
    </w:pPr>
    <w:rPr>
      <w:kern w:val="0"/>
    </w:rPr>
  </w:style>
  <w:style w:type="paragraph" w:customStyle="1" w:styleId="239">
    <w:name w:val="注："/>
    <w:next w:val="131"/>
    <w:qFormat/>
    <w:uiPriority w:val="0"/>
    <w:pPr>
      <w:widowControl w:val="0"/>
      <w:tabs>
        <w:tab w:val="left" w:pos="1140"/>
      </w:tabs>
      <w:autoSpaceDE w:val="0"/>
      <w:autoSpaceDN w:val="0"/>
      <w:ind w:left="840" w:hanging="420"/>
      <w:jc w:val="both"/>
    </w:pPr>
    <w:rPr>
      <w:rFonts w:ascii="宋体"/>
      <w:kern w:val="2"/>
      <w:sz w:val="18"/>
      <w:lang w:val="en-US" w:eastAsia="zh-CN" w:bidi="ar-SA"/>
    </w:rPr>
  </w:style>
  <w:style w:type="paragraph" w:customStyle="1" w:styleId="240">
    <w:name w:val="标准书眉_偶数页"/>
    <w:basedOn w:val="128"/>
    <w:next w:val="1"/>
    <w:qFormat/>
    <w:uiPriority w:val="0"/>
    <w:pPr>
      <w:jc w:val="left"/>
    </w:pPr>
  </w:style>
  <w:style w:type="paragraph" w:customStyle="1" w:styleId="241">
    <w:name w:val="正文表标题"/>
    <w:next w:val="131"/>
    <w:qFormat/>
    <w:uiPriority w:val="0"/>
    <w:pPr>
      <w:jc w:val="center"/>
    </w:pPr>
    <w:rPr>
      <w:rFonts w:ascii="黑体" w:eastAsia="黑体"/>
      <w:kern w:val="2"/>
      <w:sz w:val="21"/>
      <w:lang w:val="en-US" w:eastAsia="zh-CN" w:bidi="ar-SA"/>
    </w:rPr>
  </w:style>
  <w:style w:type="paragraph" w:customStyle="1" w:styleId="242">
    <w:name w:val="Char Char Char3 Char Char Char Char1"/>
    <w:basedOn w:val="1"/>
    <w:qFormat/>
    <w:uiPriority w:val="0"/>
    <w:pPr>
      <w:spacing w:line="360" w:lineRule="auto"/>
    </w:pPr>
    <w:rPr>
      <w:sz w:val="24"/>
    </w:rPr>
  </w:style>
  <w:style w:type="paragraph" w:customStyle="1" w:styleId="243">
    <w:name w:val="封面一致性程度标识"/>
    <w:qFormat/>
    <w:uiPriority w:val="0"/>
    <w:pPr>
      <w:spacing w:before="440" w:line="400" w:lineRule="exact"/>
      <w:jc w:val="center"/>
    </w:pPr>
    <w:rPr>
      <w:rFonts w:ascii="宋体"/>
      <w:kern w:val="2"/>
      <w:sz w:val="28"/>
      <w:lang w:val="en-US" w:eastAsia="zh-CN" w:bidi="ar-SA"/>
    </w:rPr>
  </w:style>
  <w:style w:type="paragraph" w:customStyle="1" w:styleId="244">
    <w:name w:val="Char Char Char3 Char Char Char Char3"/>
    <w:basedOn w:val="1"/>
    <w:qFormat/>
    <w:uiPriority w:val="0"/>
    <w:pPr>
      <w:spacing w:line="360" w:lineRule="auto"/>
    </w:pPr>
    <w:rPr>
      <w:sz w:val="24"/>
    </w:rPr>
  </w:style>
  <w:style w:type="paragraph" w:customStyle="1" w:styleId="245">
    <w:name w:val="封面标准名称"/>
    <w:qFormat/>
    <w:uiPriority w:val="0"/>
    <w:pPr>
      <w:widowControl w:val="0"/>
      <w:spacing w:line="680" w:lineRule="exact"/>
      <w:jc w:val="center"/>
      <w:textAlignment w:val="center"/>
    </w:pPr>
    <w:rPr>
      <w:rFonts w:ascii="黑体" w:eastAsia="黑体"/>
      <w:kern w:val="2"/>
      <w:sz w:val="52"/>
      <w:lang w:val="en-US" w:eastAsia="zh-CN" w:bidi="ar-SA"/>
    </w:rPr>
  </w:style>
  <w:style w:type="paragraph" w:customStyle="1" w:styleId="246">
    <w:name w:val="xl73"/>
    <w:basedOn w:val="1"/>
    <w:qFormat/>
    <w:uiPriority w:val="0"/>
    <w:pPr>
      <w:widowControl/>
      <w:pBdr>
        <w:top w:val="single" w:color="auto" w:sz="8" w:space="0"/>
        <w:right w:val="single" w:color="auto" w:sz="8" w:space="0"/>
      </w:pBdr>
      <w:spacing w:before="100" w:beforeAutospacing="1" w:after="100" w:afterAutospacing="1"/>
      <w:jc w:val="center"/>
    </w:pPr>
    <w:rPr>
      <w:rFonts w:ascii="宋体" w:hAnsi="宋体"/>
      <w:kern w:val="0"/>
    </w:rPr>
  </w:style>
  <w:style w:type="paragraph" w:customStyle="1" w:styleId="247">
    <w:name w:val="Char1"/>
    <w:basedOn w:val="1"/>
    <w:qFormat/>
    <w:uiPriority w:val="0"/>
  </w:style>
  <w:style w:type="paragraph" w:customStyle="1" w:styleId="248">
    <w:name w:val="正文加粗"/>
    <w:basedOn w:val="1"/>
    <w:next w:val="1"/>
    <w:qFormat/>
    <w:uiPriority w:val="99"/>
    <w:pPr>
      <w:ind w:firstLine="200" w:firstLineChars="200"/>
    </w:pPr>
    <w:rPr>
      <w:b/>
      <w:bCs/>
    </w:rPr>
  </w:style>
  <w:style w:type="paragraph" w:customStyle="1" w:styleId="249">
    <w:name w:val="示例"/>
    <w:next w:val="131"/>
    <w:qFormat/>
    <w:uiPriority w:val="0"/>
    <w:pPr>
      <w:tabs>
        <w:tab w:val="left" w:pos="1120"/>
      </w:tabs>
      <w:ind w:firstLine="400"/>
      <w:jc w:val="both"/>
    </w:pPr>
    <w:rPr>
      <w:rFonts w:ascii="宋体"/>
      <w:kern w:val="2"/>
      <w:sz w:val="18"/>
      <w:lang w:val="en-US" w:eastAsia="zh-CN" w:bidi="ar-SA"/>
    </w:rPr>
  </w:style>
  <w:style w:type="paragraph" w:customStyle="1" w:styleId="250">
    <w:name w:val="Char Char Char Char"/>
    <w:basedOn w:val="1"/>
    <w:qFormat/>
    <w:uiPriority w:val="0"/>
    <w:rPr>
      <w:rFonts w:eastAsia="方正仿宋_GBK"/>
      <w:sz w:val="32"/>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23</Pages>
  <Words>1848</Words>
  <Characters>10536</Characters>
  <Lines>87</Lines>
  <Paragraphs>24</Paragraphs>
  <TotalTime>10.3333333333333</TotalTime>
  <ScaleCrop>false</ScaleCrop>
  <LinksUpToDate>false</LinksUpToDate>
  <CharactersWithSpaces>12360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2020-11-06T13:38:00Z</dcterms:created>
  <dc:creator>lihongjun</dc:creator>
  <cp:lastModifiedBy>WPS_1628732352</cp:lastModifiedBy>
  <cp:lastPrinted>2021-12-25T09:00:17Z</cp:lastPrinted>
  <dcterms:modified xsi:type="dcterms:W3CDTF">2022-01-27T02:06:42Z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D464CCB754C5489791AF4DBE5DE20C1F</vt:lpwstr>
  </property>
</Properties>
</file>