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ind w:firstLine="640" w:firstLineChars="200"/>
        <w:rPr>
          <w:rFonts w:hint="eastAsia" w:eastAsia="仿宋_GB2312"/>
          <w:sz w:val="32"/>
          <w:szCs w:val="32"/>
        </w:rPr>
      </w:pPr>
    </w:p>
    <w:p>
      <w:pPr>
        <w:spacing w:line="560" w:lineRule="exact"/>
        <w:ind w:firstLine="640" w:firstLineChars="200"/>
        <w:rPr>
          <w:rFonts w:hint="eastAsia" w:eastAsia="仿宋_GB2312"/>
          <w:sz w:val="32"/>
          <w:szCs w:val="32"/>
        </w:rPr>
      </w:pPr>
    </w:p>
    <w:p>
      <w:pPr>
        <w:spacing w:line="580" w:lineRule="exact"/>
        <w:ind w:firstLine="640" w:firstLineChars="200"/>
        <w:rPr>
          <w:rFonts w:hint="eastAsia" w:eastAsia="仿宋_GB2312"/>
          <w:color w:val="000000"/>
          <w:sz w:val="32"/>
          <w:szCs w:val="32"/>
        </w:rPr>
      </w:pPr>
    </w:p>
    <w:p>
      <w:pPr>
        <w:spacing w:line="580" w:lineRule="exact"/>
        <w:ind w:firstLine="640" w:firstLineChars="200"/>
        <w:rPr>
          <w:rFonts w:hint="eastAsia" w:eastAsia="仿宋_GB2312"/>
          <w:color w:val="000000"/>
          <w:sz w:val="32"/>
          <w:szCs w:val="32"/>
        </w:rPr>
      </w:pPr>
    </w:p>
    <w:p>
      <w:pPr>
        <w:spacing w:line="580" w:lineRule="exact"/>
        <w:ind w:firstLine="640" w:firstLineChars="200"/>
        <w:rPr>
          <w:rFonts w:hint="eastAsia" w:eastAsia="仿宋_GB2312"/>
          <w:color w:val="000000"/>
          <w:sz w:val="32"/>
          <w:szCs w:val="32"/>
        </w:rPr>
      </w:pPr>
    </w:p>
    <w:p>
      <w:pPr>
        <w:spacing w:line="580" w:lineRule="exact"/>
        <w:ind w:firstLine="640" w:firstLineChars="200"/>
        <w:rPr>
          <w:rFonts w:hint="eastAsia" w:eastAsia="仿宋_GB2312"/>
          <w:color w:val="000000"/>
          <w:sz w:val="32"/>
          <w:szCs w:val="32"/>
        </w:rPr>
      </w:pPr>
    </w:p>
    <w:p>
      <w:pPr>
        <w:spacing w:line="580" w:lineRule="exact"/>
        <w:jc w:val="center"/>
        <w:rPr>
          <w:rFonts w:hint="eastAsia" w:eastAsia="黑体"/>
          <w:color w:val="000000"/>
          <w:sz w:val="44"/>
          <w:szCs w:val="44"/>
        </w:rPr>
      </w:pPr>
      <w:bookmarkStart w:id="0" w:name="_GoBack"/>
      <w:r>
        <w:rPr>
          <w:rFonts w:eastAsia="黑体"/>
          <w:color w:val="000000"/>
          <w:sz w:val="44"/>
          <w:szCs w:val="44"/>
        </w:rPr>
        <w:t>天津市</w:t>
      </w:r>
      <w:r>
        <w:rPr>
          <w:rFonts w:hint="eastAsia" w:eastAsia="黑体"/>
          <w:color w:val="000000"/>
          <w:sz w:val="44"/>
          <w:szCs w:val="44"/>
        </w:rPr>
        <w:t>新型城镇化</w:t>
      </w:r>
      <w:r>
        <w:rPr>
          <w:rFonts w:eastAsia="黑体"/>
          <w:color w:val="000000"/>
          <w:sz w:val="44"/>
          <w:szCs w:val="44"/>
        </w:rPr>
        <w:t>发展</w:t>
      </w:r>
      <w:r>
        <w:rPr>
          <w:rFonts w:hint="eastAsia" w:eastAsia="黑体"/>
          <w:color w:val="000000"/>
          <w:sz w:val="44"/>
          <w:szCs w:val="44"/>
        </w:rPr>
        <w:t>“</w:t>
      </w:r>
      <w:r>
        <w:rPr>
          <w:rFonts w:eastAsia="黑体"/>
          <w:color w:val="000000"/>
          <w:sz w:val="44"/>
          <w:szCs w:val="44"/>
        </w:rPr>
        <w:t>十四五</w:t>
      </w:r>
      <w:r>
        <w:rPr>
          <w:rFonts w:hint="eastAsia" w:eastAsia="黑体"/>
          <w:color w:val="000000"/>
          <w:sz w:val="44"/>
          <w:szCs w:val="44"/>
        </w:rPr>
        <w:t>”</w:t>
      </w:r>
      <w:r>
        <w:rPr>
          <w:rFonts w:eastAsia="黑体"/>
          <w:color w:val="000000"/>
          <w:sz w:val="44"/>
          <w:szCs w:val="44"/>
        </w:rPr>
        <w:t>规划</w:t>
      </w:r>
      <w:bookmarkEnd w:id="0"/>
    </w:p>
    <w:p>
      <w:pPr>
        <w:spacing w:line="580" w:lineRule="exact"/>
        <w:jc w:val="center"/>
        <w:rPr>
          <w:rFonts w:eastAsia="黑体"/>
          <w:color w:val="000000"/>
          <w:sz w:val="44"/>
          <w:szCs w:val="44"/>
        </w:rPr>
      </w:pPr>
    </w:p>
    <w:p>
      <w:pPr>
        <w:spacing w:line="580" w:lineRule="exact"/>
        <w:ind w:firstLine="640" w:firstLineChars="200"/>
        <w:rPr>
          <w:rFonts w:hint="eastAsia" w:eastAsia="仿宋_GB2312"/>
          <w:color w:val="000000"/>
          <w:sz w:val="32"/>
          <w:szCs w:val="32"/>
        </w:rPr>
      </w:pPr>
    </w:p>
    <w:p>
      <w:pPr>
        <w:spacing w:line="580" w:lineRule="exact"/>
        <w:ind w:firstLine="640" w:firstLineChars="200"/>
        <w:rPr>
          <w:rFonts w:hint="eastAsia" w:eastAsia="仿宋_GB2312"/>
          <w:color w:val="000000"/>
          <w:sz w:val="32"/>
          <w:szCs w:val="32"/>
        </w:rPr>
      </w:pPr>
    </w:p>
    <w:p>
      <w:pPr>
        <w:spacing w:line="580" w:lineRule="exact"/>
        <w:ind w:firstLine="640" w:firstLineChars="200"/>
        <w:rPr>
          <w:rFonts w:hint="eastAsia" w:eastAsia="仿宋_GB2312"/>
          <w:color w:val="000000"/>
          <w:sz w:val="32"/>
          <w:szCs w:val="32"/>
        </w:rPr>
      </w:pPr>
    </w:p>
    <w:p>
      <w:pPr>
        <w:spacing w:line="580" w:lineRule="exact"/>
        <w:ind w:firstLine="640" w:firstLineChars="200"/>
        <w:rPr>
          <w:rFonts w:hint="eastAsia" w:eastAsia="仿宋_GB2312"/>
          <w:color w:val="000000"/>
          <w:sz w:val="32"/>
          <w:szCs w:val="32"/>
        </w:rPr>
      </w:pPr>
    </w:p>
    <w:p>
      <w:pPr>
        <w:spacing w:line="580" w:lineRule="exact"/>
        <w:ind w:firstLine="640" w:firstLineChars="200"/>
        <w:rPr>
          <w:rFonts w:hint="eastAsia" w:eastAsia="仿宋_GB2312"/>
          <w:color w:val="000000"/>
          <w:sz w:val="32"/>
          <w:szCs w:val="32"/>
        </w:rPr>
      </w:pPr>
    </w:p>
    <w:p>
      <w:pPr>
        <w:spacing w:line="580" w:lineRule="exact"/>
        <w:ind w:firstLine="640" w:firstLineChars="200"/>
        <w:rPr>
          <w:rFonts w:hint="eastAsia" w:eastAsia="仿宋_GB2312"/>
          <w:color w:val="000000"/>
          <w:sz w:val="32"/>
          <w:szCs w:val="32"/>
        </w:rPr>
      </w:pPr>
    </w:p>
    <w:p>
      <w:pPr>
        <w:spacing w:line="580" w:lineRule="exact"/>
        <w:ind w:firstLine="640" w:firstLineChars="200"/>
        <w:rPr>
          <w:rFonts w:hint="eastAsia" w:eastAsia="仿宋_GB2312"/>
          <w:color w:val="000000"/>
          <w:sz w:val="32"/>
          <w:szCs w:val="32"/>
        </w:rPr>
      </w:pPr>
    </w:p>
    <w:p>
      <w:pPr>
        <w:spacing w:line="580" w:lineRule="exact"/>
        <w:ind w:firstLine="640" w:firstLineChars="200"/>
        <w:rPr>
          <w:rFonts w:hint="eastAsia" w:eastAsia="仿宋_GB2312"/>
          <w:color w:val="000000"/>
          <w:sz w:val="32"/>
          <w:szCs w:val="32"/>
        </w:rPr>
      </w:pPr>
    </w:p>
    <w:p>
      <w:pPr>
        <w:spacing w:line="580" w:lineRule="exact"/>
        <w:ind w:firstLine="640" w:firstLineChars="200"/>
        <w:rPr>
          <w:rFonts w:hint="eastAsia" w:eastAsia="仿宋_GB2312"/>
          <w:color w:val="000000"/>
          <w:sz w:val="32"/>
          <w:szCs w:val="32"/>
        </w:rPr>
      </w:pPr>
    </w:p>
    <w:p>
      <w:pPr>
        <w:spacing w:line="580" w:lineRule="exact"/>
        <w:jc w:val="center"/>
        <w:rPr>
          <w:rFonts w:hint="eastAsia" w:eastAsia="黑体"/>
          <w:color w:val="000000"/>
          <w:sz w:val="32"/>
          <w:szCs w:val="32"/>
        </w:rPr>
      </w:pPr>
      <w:r>
        <w:rPr>
          <w:rFonts w:hint="eastAsia" w:eastAsia="黑体"/>
          <w:color w:val="000000"/>
          <w:sz w:val="32"/>
          <w:szCs w:val="32"/>
        </w:rPr>
        <w:t>天津市发展和改革委员会</w:t>
      </w:r>
    </w:p>
    <w:p>
      <w:pPr>
        <w:spacing w:line="580" w:lineRule="exact"/>
        <w:jc w:val="center"/>
        <w:rPr>
          <w:rFonts w:hint="eastAsia" w:eastAsia="黑体"/>
          <w:color w:val="000000"/>
          <w:sz w:val="32"/>
          <w:szCs w:val="32"/>
        </w:rPr>
      </w:pPr>
      <w:r>
        <w:rPr>
          <w:rFonts w:hint="eastAsia" w:eastAsia="黑体"/>
          <w:color w:val="000000"/>
          <w:sz w:val="32"/>
          <w:szCs w:val="32"/>
        </w:rPr>
        <w:t>2021年12月</w:t>
      </w:r>
    </w:p>
    <w:p>
      <w:pPr>
        <w:spacing w:line="580" w:lineRule="exact"/>
        <w:ind w:firstLine="640" w:firstLineChars="200"/>
        <w:rPr>
          <w:rFonts w:eastAsia="仿宋_GB2312"/>
          <w:color w:val="000000"/>
          <w:sz w:val="32"/>
          <w:szCs w:val="32"/>
        </w:rPr>
        <w:sectPr>
          <w:pgSz w:w="11906" w:h="16838"/>
          <w:pgMar w:top="1985" w:right="1474" w:bottom="1418" w:left="1474" w:header="851" w:footer="992" w:gutter="0"/>
          <w:cols w:space="720" w:num="1"/>
          <w:docGrid w:type="lines" w:linePitch="312" w:charSpace="0"/>
        </w:sectPr>
      </w:pPr>
    </w:p>
    <w:p>
      <w:pPr>
        <w:spacing w:line="580" w:lineRule="exact"/>
        <w:ind w:firstLine="640" w:firstLineChars="200"/>
        <w:rPr>
          <w:rFonts w:eastAsia="方正仿宋_GBK"/>
          <w:bCs/>
          <w:sz w:val="32"/>
          <w:szCs w:val="32"/>
        </w:rPr>
      </w:pPr>
      <w:r>
        <w:rPr>
          <w:rFonts w:eastAsia="仿宋_GB2312"/>
          <w:bCs/>
          <w:sz w:val="32"/>
          <w:szCs w:val="32"/>
        </w:rPr>
        <w:t>“十四五”时期（2021-2025</w:t>
      </w:r>
      <w:r>
        <w:rPr>
          <w:rFonts w:hint="eastAsia" w:eastAsia="仿宋_GB2312"/>
          <w:bCs/>
          <w:sz w:val="32"/>
          <w:szCs w:val="32"/>
        </w:rPr>
        <w:t>年</w:t>
      </w:r>
      <w:r>
        <w:rPr>
          <w:rFonts w:eastAsia="仿宋_GB2312"/>
          <w:bCs/>
          <w:sz w:val="32"/>
          <w:szCs w:val="32"/>
        </w:rPr>
        <w:t>）是天津在全面建成高质量小康社会基础上，开启全面建设社会主义现代化大都市新征程的第一个五年。深入推进新型城镇化，有利于激发超大规模市场优势和内需潜力，促进经济增长动能转换和社会文明进步，是我市实现高质量发展的重要引擎。科学编制《天津市新型城镇化发展“十四五”规划》，对于我市稳妥推进以人为核心的新型城镇化战略，积极服务新发展格局具有重要意义。</w:t>
      </w:r>
    </w:p>
    <w:p>
      <w:pPr>
        <w:keepNext/>
        <w:keepLines/>
        <w:spacing w:line="580" w:lineRule="exact"/>
        <w:ind w:firstLine="640" w:firstLineChars="200"/>
        <w:outlineLvl w:val="1"/>
        <w:rPr>
          <w:rFonts w:ascii="黑体" w:hAnsi="黑体" w:eastAsia="黑体"/>
          <w:bCs/>
          <w:sz w:val="32"/>
          <w:szCs w:val="32"/>
        </w:rPr>
      </w:pPr>
      <w:r>
        <w:rPr>
          <w:rFonts w:ascii="黑体" w:hAnsi="黑体" w:eastAsia="黑体"/>
          <w:bCs/>
          <w:sz w:val="32"/>
          <w:szCs w:val="32"/>
        </w:rPr>
        <w:t>一、发展基础</w:t>
      </w:r>
    </w:p>
    <w:p>
      <w:pPr>
        <w:spacing w:line="580" w:lineRule="exact"/>
        <w:ind w:firstLine="640" w:firstLineChars="200"/>
        <w:rPr>
          <w:rFonts w:eastAsia="仿宋_GB2312"/>
          <w:bCs/>
          <w:sz w:val="32"/>
          <w:szCs w:val="32"/>
        </w:rPr>
      </w:pPr>
      <w:r>
        <w:rPr>
          <w:rFonts w:eastAsia="仿宋_GB2312"/>
          <w:bCs/>
          <w:sz w:val="32"/>
          <w:szCs w:val="32"/>
        </w:rPr>
        <w:t>“十三五”以来，我市全面贯彻习近平新时代中国特色社会主义思想，如期完成新型城镇化的阶段性发展目标，城镇化水平、城乡融合发展、城镇空间布局、基础设施配套以及数字化管理等方面均有明显成效，为“十四五”时期发展打下了坚实基础。</w:t>
      </w:r>
    </w:p>
    <w:p>
      <w:pPr>
        <w:spacing w:line="580" w:lineRule="exact"/>
        <w:ind w:firstLine="640" w:firstLineChars="200"/>
        <w:rPr>
          <w:rFonts w:eastAsia="仿宋_GB2312"/>
          <w:bCs/>
          <w:sz w:val="32"/>
          <w:szCs w:val="32"/>
        </w:rPr>
      </w:pPr>
      <w:r>
        <w:rPr>
          <w:rFonts w:eastAsia="楷体"/>
          <w:bCs/>
          <w:sz w:val="32"/>
          <w:szCs w:val="32"/>
        </w:rPr>
        <w:t>城镇化水平位居全国前列。</w:t>
      </w:r>
      <w:r>
        <w:rPr>
          <w:rFonts w:eastAsia="仿宋_GB2312"/>
          <w:bCs/>
          <w:sz w:val="32"/>
          <w:szCs w:val="32"/>
        </w:rPr>
        <w:t>天津市城镇化率总体呈现增长态势，由2015年的82.64%增至2020年的84.7%。“十三五”期间，提高了2.06个百分点。</w:t>
      </w:r>
    </w:p>
    <w:p>
      <w:pPr>
        <w:spacing w:line="580" w:lineRule="exact"/>
        <w:ind w:firstLine="640" w:firstLineChars="200"/>
        <w:rPr>
          <w:rFonts w:eastAsia="仿宋_GB2312"/>
          <w:bCs/>
          <w:sz w:val="32"/>
          <w:szCs w:val="32"/>
        </w:rPr>
      </w:pPr>
      <w:r>
        <w:rPr>
          <w:rFonts w:eastAsia="楷体"/>
          <w:bCs/>
          <w:sz w:val="32"/>
          <w:szCs w:val="32"/>
        </w:rPr>
        <w:t>城乡融合发展程度逐渐提升。</w:t>
      </w:r>
      <w:r>
        <w:rPr>
          <w:rFonts w:eastAsia="仿宋_GB2312"/>
          <w:bCs/>
          <w:sz w:val="32"/>
          <w:szCs w:val="32"/>
        </w:rPr>
        <w:t>通过结对帮扶等形式促进城区教育资源向农村辐射，推动城乡教育一体化改革，建立了以城带乡的义务教育资源均衡配置模式。持续推进统筹城乡的居民基本医疗保险制度，形成了“一主四辅、参一保五”独特模式，医疗卫生服务实现全民覆盖。通过建设示范小城镇，有效保障和改善了民生，解决了广大农民最关心的安居乐业和社会保障问题，共70余万农民完成还迁，农村居民生活环境不断改善。</w:t>
      </w:r>
    </w:p>
    <w:p>
      <w:pPr>
        <w:spacing w:line="580" w:lineRule="exact"/>
        <w:ind w:firstLine="640" w:firstLineChars="200"/>
        <w:rPr>
          <w:rFonts w:eastAsia="仿宋_GB2312"/>
          <w:bCs/>
          <w:sz w:val="32"/>
          <w:szCs w:val="32"/>
        </w:rPr>
      </w:pPr>
      <w:r>
        <w:rPr>
          <w:rFonts w:hint="eastAsia" w:eastAsia="楷体"/>
          <w:bCs/>
          <w:sz w:val="32"/>
          <w:szCs w:val="32"/>
        </w:rPr>
        <w:t>“津城”“滨城”</w:t>
      </w:r>
      <w:r>
        <w:rPr>
          <w:rFonts w:eastAsia="楷体"/>
          <w:bCs/>
          <w:sz w:val="32"/>
          <w:szCs w:val="32"/>
        </w:rPr>
        <w:t>双城格局初步显现。</w:t>
      </w:r>
      <w:r>
        <w:rPr>
          <w:rFonts w:eastAsia="仿宋_GB2312"/>
          <w:bCs/>
          <w:sz w:val="32"/>
          <w:szCs w:val="32"/>
        </w:rPr>
        <w:t>积极融入京津冀世界级城市群建设。中心城区坚持内涵集约式发展，滨海新区加快建设现代化海滨城市，环城四区积极拓展功能，武清、宝坻、静海、宁河和蓟州打造城镇体系重点节点，分四批培育创建</w:t>
      </w:r>
      <w:r>
        <w:rPr>
          <w:rFonts w:eastAsia="仿宋_GB2312"/>
          <w:bCs/>
          <w:sz w:val="32"/>
          <w:szCs w:val="32"/>
          <w:lang w:val="en"/>
        </w:rPr>
        <w:t>18</w:t>
      </w:r>
      <w:r>
        <w:rPr>
          <w:rFonts w:eastAsia="仿宋_GB2312"/>
          <w:bCs/>
          <w:sz w:val="32"/>
          <w:szCs w:val="32"/>
        </w:rPr>
        <w:t>个市级特色小镇，美丽乡村建设成效显著，基本形成以“双城、辅城、中等城市、</w:t>
      </w:r>
      <w:r>
        <w:rPr>
          <w:rFonts w:eastAsia="仿宋_GB2312"/>
          <w:bCs/>
          <w:sz w:val="32"/>
          <w:szCs w:val="32"/>
          <w:lang w:val="en"/>
        </w:rPr>
        <w:t>小城镇</w:t>
      </w:r>
      <w:r>
        <w:rPr>
          <w:rFonts w:eastAsia="仿宋_GB2312"/>
          <w:bCs/>
          <w:sz w:val="32"/>
          <w:szCs w:val="32"/>
        </w:rPr>
        <w:t>和美丽乡村”为骨架，规模适度、布局合理、城乡互动、和谐宜居的现代化城乡体系，城镇化空间布局显著优化。</w:t>
      </w:r>
    </w:p>
    <w:p>
      <w:pPr>
        <w:spacing w:line="580" w:lineRule="exact"/>
        <w:ind w:firstLine="640" w:firstLineChars="200"/>
        <w:rPr>
          <w:rFonts w:eastAsia="仿宋_GB2312"/>
          <w:bCs/>
          <w:sz w:val="32"/>
          <w:szCs w:val="32"/>
        </w:rPr>
      </w:pPr>
      <w:r>
        <w:rPr>
          <w:rFonts w:eastAsia="楷体"/>
          <w:bCs/>
          <w:sz w:val="32"/>
          <w:szCs w:val="32"/>
        </w:rPr>
        <w:t>基础设施配套水平明显提高。</w:t>
      </w:r>
      <w:r>
        <w:rPr>
          <w:rFonts w:eastAsia="仿宋_GB2312"/>
          <w:bCs/>
          <w:sz w:val="32"/>
          <w:szCs w:val="32"/>
        </w:rPr>
        <w:t>城镇水、电、路、气、热等基础设施工程建设不断加快。到2020年底城市交通路网持续完善，基本建成“8横6纵”高速公路网，通车里程1325公里，路网密度居全国前列。建成首批国家公交都市示范城市，全市公交线路达到1002条、轨道交通运营里程达到232公里。新型基础设施建设进展显著，到2020年底累计建成5G基站2.4万个，移动宽带、固定宽带下载速率均跃居全国第3位。积极开展农村生活污水、垃圾等专项整治，建成美丽村庄1139个，全市所有建制村实现村村通客车。</w:t>
      </w:r>
    </w:p>
    <w:p>
      <w:pPr>
        <w:spacing w:line="580" w:lineRule="exact"/>
        <w:ind w:firstLine="640" w:firstLineChars="200"/>
        <w:rPr>
          <w:rFonts w:eastAsia="仿宋_GB2312"/>
          <w:bCs/>
          <w:sz w:val="32"/>
          <w:szCs w:val="32"/>
        </w:rPr>
      </w:pPr>
      <w:r>
        <w:rPr>
          <w:rFonts w:eastAsia="楷体"/>
          <w:bCs/>
          <w:sz w:val="32"/>
          <w:szCs w:val="32"/>
        </w:rPr>
        <w:t>数字化管理水平显著增强。</w:t>
      </w:r>
      <w:r>
        <w:rPr>
          <w:rFonts w:eastAsia="仿宋_GB2312"/>
          <w:bCs/>
          <w:sz w:val="32"/>
          <w:szCs w:val="32"/>
        </w:rPr>
        <w:t>成立市大数据管理中心，“互联网+政务服务”加快推进，全市政务信息资源统一共享交换平台已初步建成，接入了66个市级部门、16个区以及5家公共服务机构，实现了与国家平台的级联对接，实现了与49个市级政务部门的互联互通。初步建成基础教育资源、医疗资源和社会保障等公共服务平台，教育教学、智慧健康和就失业管理的信息化管理水平均显著提高。建设智能交通动态感知网络，实现高速公路视频监控全程覆盖、普通公路视频监控重点覆盖。建成网络安全态势感知与应急指挥平台，网络信息安全体系日益完善。</w:t>
      </w:r>
    </w:p>
    <w:p>
      <w:pPr>
        <w:spacing w:line="580" w:lineRule="exact"/>
        <w:ind w:firstLine="640" w:firstLineChars="200"/>
        <w:rPr>
          <w:rFonts w:eastAsia="仿宋_GB2312"/>
          <w:bCs/>
          <w:sz w:val="32"/>
          <w:szCs w:val="32"/>
        </w:rPr>
      </w:pPr>
      <w:r>
        <w:rPr>
          <w:rFonts w:eastAsia="仿宋_GB2312"/>
          <w:bCs/>
          <w:sz w:val="32"/>
          <w:szCs w:val="32"/>
        </w:rPr>
        <w:t>在取得成绩的同时，也要深刻认识到，天津新型城镇化发展仍有一些瓶颈问题亟待突破。</w:t>
      </w:r>
      <w:r>
        <w:rPr>
          <w:rFonts w:eastAsia="仿宋"/>
          <w:bCs/>
          <w:sz w:val="32"/>
          <w:szCs w:val="32"/>
        </w:rPr>
        <w:t>一</w:t>
      </w:r>
      <w:r>
        <w:rPr>
          <w:rFonts w:eastAsia="楷体"/>
          <w:bCs/>
          <w:sz w:val="32"/>
          <w:szCs w:val="32"/>
        </w:rPr>
        <w:t>是国际化大都市的城市功能与要素集聚力不足。</w:t>
      </w:r>
      <w:r>
        <w:rPr>
          <w:rFonts w:eastAsia="仿宋_GB2312"/>
          <w:bCs/>
          <w:sz w:val="32"/>
          <w:szCs w:val="32"/>
        </w:rPr>
        <w:t>国际营商环境和城市生活品质仍有待改善，高层级经济功能和高品质服务功能不足，优质要素集聚力不强，智慧城市建设尚处于起步阶段，舒适性城市建设任重道远。</w:t>
      </w:r>
      <w:r>
        <w:rPr>
          <w:rFonts w:eastAsia="楷体"/>
          <w:bCs/>
          <w:sz w:val="32"/>
          <w:szCs w:val="32"/>
        </w:rPr>
        <w:t>二是中心城区、滨海新区和外围地区尚未实现有效协调发展。</w:t>
      </w:r>
      <w:r>
        <w:rPr>
          <w:rFonts w:eastAsia="仿宋_GB2312"/>
          <w:bCs/>
          <w:sz w:val="32"/>
          <w:szCs w:val="32"/>
        </w:rPr>
        <w:t>双城空间关联与分工合作仍待加强，中心城区人口密度高、人均地区生产总值低，迫切需要提升发展能级和核心竞争力；滨海新区城市功能、承载力和吸引力亟待增强。双城对环城四区及外围地区的辐射带动力不强，武清、宝坻、静海、宁河及蓟州等地区城镇化率低于全市水平。</w:t>
      </w:r>
      <w:r>
        <w:rPr>
          <w:rFonts w:eastAsia="楷体"/>
          <w:bCs/>
          <w:sz w:val="32"/>
          <w:szCs w:val="32"/>
        </w:rPr>
        <w:t>三是城乡差距依然明显。</w:t>
      </w:r>
      <w:r>
        <w:rPr>
          <w:rFonts w:eastAsia="仿宋_GB2312"/>
          <w:bCs/>
          <w:sz w:val="32"/>
          <w:szCs w:val="32"/>
        </w:rPr>
        <w:t>城乡产业链未能有效对接，现代农业体系及农村一二三产融合发展亟待优化，城乡公共服务与基础设施仍有明显差异，城乡要素自由流动的体制障碍亟待破除。</w:t>
      </w:r>
      <w:r>
        <w:rPr>
          <w:rFonts w:eastAsia="楷体"/>
          <w:bCs/>
          <w:sz w:val="32"/>
          <w:szCs w:val="32"/>
        </w:rPr>
        <w:t>四是城市综合承载和资源配置能力亟待改善。</w:t>
      </w:r>
      <w:r>
        <w:rPr>
          <w:rFonts w:hint="eastAsia" w:eastAsia="楷体"/>
          <w:bCs/>
          <w:sz w:val="32"/>
          <w:szCs w:val="32"/>
        </w:rPr>
        <w:t>“</w:t>
      </w:r>
      <w:r>
        <w:rPr>
          <w:rFonts w:eastAsia="仿宋_GB2312"/>
          <w:bCs/>
          <w:sz w:val="32"/>
          <w:szCs w:val="32"/>
        </w:rPr>
        <w:t>十三五</w:t>
      </w:r>
      <w:r>
        <w:rPr>
          <w:rFonts w:hint="eastAsia" w:eastAsia="楷体"/>
          <w:bCs/>
          <w:sz w:val="32"/>
          <w:szCs w:val="32"/>
        </w:rPr>
        <w:t>”</w:t>
      </w:r>
      <w:r>
        <w:rPr>
          <w:rFonts w:eastAsia="仿宋_GB2312"/>
          <w:bCs/>
          <w:sz w:val="32"/>
          <w:szCs w:val="32"/>
        </w:rPr>
        <w:t>期间城市建成区面积增速为30%，城镇人口增速仅为2%，土地利用效率亟待提升。农村劳动力转移人口市民化进程滞后，城市包容性有待提高。环境容量超限与资源消耗增长矛盾突出，污染防治压力较大。</w:t>
      </w:r>
      <w:r>
        <w:rPr>
          <w:rFonts w:eastAsia="楷体"/>
          <w:bCs/>
          <w:sz w:val="32"/>
          <w:szCs w:val="32"/>
        </w:rPr>
        <w:t>五是特色小镇和示范小城镇亟待向规范健康发展转型。</w:t>
      </w:r>
      <w:r>
        <w:rPr>
          <w:rFonts w:eastAsia="仿宋_GB2312"/>
          <w:bCs/>
          <w:sz w:val="32"/>
          <w:szCs w:val="32"/>
        </w:rPr>
        <w:t>特色小镇投融资机制和投资建设运营模式亟待完善，项目资金短缺。部分小镇的配套基础设施滞后、产业发展支撑力不足，总体定位不清、主导产业乏力等问题也不容忽视。示范小城镇历史遗留问题较多，项目持续融资能力不足，影响建设进度。</w:t>
      </w:r>
    </w:p>
    <w:p>
      <w:pPr>
        <w:keepNext/>
        <w:keepLines/>
        <w:spacing w:line="580" w:lineRule="exact"/>
        <w:ind w:firstLine="640" w:firstLineChars="200"/>
        <w:outlineLvl w:val="1"/>
        <w:rPr>
          <w:rFonts w:ascii="黑体" w:hAnsi="黑体" w:eastAsia="黑体"/>
          <w:bCs/>
          <w:sz w:val="32"/>
          <w:szCs w:val="32"/>
        </w:rPr>
      </w:pPr>
      <w:r>
        <w:rPr>
          <w:rFonts w:ascii="黑体" w:hAnsi="黑体" w:eastAsia="黑体"/>
          <w:bCs/>
          <w:sz w:val="32"/>
          <w:szCs w:val="32"/>
        </w:rPr>
        <w:t>二、发展新环境与新特征</w:t>
      </w:r>
    </w:p>
    <w:p>
      <w:pPr>
        <w:keepNext/>
        <w:keepLines/>
        <w:spacing w:line="580" w:lineRule="exact"/>
        <w:ind w:firstLine="640" w:firstLineChars="200"/>
        <w:outlineLvl w:val="2"/>
        <w:rPr>
          <w:rFonts w:eastAsia="楷体"/>
          <w:bCs/>
          <w:sz w:val="32"/>
          <w:szCs w:val="32"/>
        </w:rPr>
      </w:pPr>
      <w:r>
        <w:rPr>
          <w:rFonts w:eastAsia="楷体"/>
          <w:bCs/>
          <w:sz w:val="32"/>
          <w:szCs w:val="32"/>
        </w:rPr>
        <w:t>（一）新发展环境</w:t>
      </w:r>
    </w:p>
    <w:p>
      <w:pPr>
        <w:spacing w:line="580" w:lineRule="exact"/>
        <w:ind w:firstLine="640" w:firstLineChars="200"/>
        <w:rPr>
          <w:rFonts w:eastAsia="仿宋_GB2312"/>
          <w:bCs/>
          <w:sz w:val="32"/>
          <w:szCs w:val="32"/>
        </w:rPr>
      </w:pPr>
      <w:r>
        <w:rPr>
          <w:rFonts w:eastAsia="楷体"/>
          <w:bCs/>
          <w:sz w:val="32"/>
          <w:szCs w:val="32"/>
        </w:rPr>
        <w:t>从国际看，</w:t>
      </w:r>
      <w:r>
        <w:rPr>
          <w:rFonts w:eastAsia="仿宋_GB2312"/>
          <w:bCs/>
          <w:sz w:val="32"/>
          <w:szCs w:val="32"/>
        </w:rPr>
        <w:t>全球经济低迷态势以及大国博弈引致的贸易摩擦短期内难以改变，加之此次新冠疫情大规模爆发重创全球经济，世界经济增长对我国经济发展的带动力减弱，中国经济发展面临的外部风险和不确定性加大。新一轮科技革命和产业革命深入发展，世界科技竞争与产业竞争格局深刻变化，国际经济格局面临深度调整。中国经济发展的机遇与挑战并存，迫切需要寻找经济增长新动能，赋予新型城镇化新使命。</w:t>
      </w:r>
    </w:p>
    <w:p>
      <w:pPr>
        <w:spacing w:line="580" w:lineRule="exact"/>
        <w:ind w:firstLine="640" w:firstLineChars="200"/>
        <w:rPr>
          <w:rFonts w:eastAsia="仿宋_GB2312"/>
          <w:bCs/>
          <w:sz w:val="32"/>
          <w:szCs w:val="32"/>
        </w:rPr>
      </w:pPr>
      <w:r>
        <w:rPr>
          <w:rFonts w:eastAsia="楷体"/>
          <w:bCs/>
          <w:sz w:val="32"/>
          <w:szCs w:val="32"/>
        </w:rPr>
        <w:t>从国内看，</w:t>
      </w:r>
      <w:r>
        <w:rPr>
          <w:rFonts w:eastAsia="仿宋_GB2312"/>
          <w:bCs/>
          <w:sz w:val="32"/>
          <w:szCs w:val="32"/>
        </w:rPr>
        <w:t>我国经济已由高速增长阶段转向高质量发展阶段，社会主要矛盾已经转化为人民日益增长的美好生活需要和不平衡不充分的发展之间的矛盾，区域差距、收入差距以及城乡差距依然较大。面对百年未有之大变局，我国正在着力构建以国内大循环为主体、国内国际双循环相互促进的新发展格局。新型城镇化作为“两新一重”建设的核心内容，是实现内需驱动经济增长的重要手段、提升经济发展韧性的必然选择和畅通国内大循环的关键环节，对新型城镇化提出新要求。</w:t>
      </w:r>
    </w:p>
    <w:p>
      <w:pPr>
        <w:spacing w:line="580" w:lineRule="exact"/>
        <w:ind w:firstLine="640" w:firstLineChars="200"/>
        <w:rPr>
          <w:rFonts w:eastAsia="仿宋_GB2312"/>
          <w:bCs/>
          <w:sz w:val="32"/>
          <w:szCs w:val="32"/>
        </w:rPr>
      </w:pPr>
      <w:r>
        <w:rPr>
          <w:rFonts w:eastAsia="楷体"/>
          <w:bCs/>
          <w:sz w:val="32"/>
          <w:szCs w:val="32"/>
        </w:rPr>
        <w:t>从全市看，</w:t>
      </w:r>
      <w:r>
        <w:rPr>
          <w:rFonts w:eastAsia="仿宋_GB2312"/>
          <w:bCs/>
          <w:sz w:val="32"/>
          <w:szCs w:val="32"/>
        </w:rPr>
        <w:t>正处于经济结构调整、新旧动能转换、经济质量提升的关键时期。与此同时，京津冀协同发展也进入到“滚石上山、爬坡过坎、攻坚克难”的重要阶段。我市迫切需要发挥成熟大都市、公共服务能力、世界级大港和先进制造业等方面的优势，积极落实“一基地三区”功能定位、加快建设“五个现代化天津”和社会主义现代化大都市，在新发展格局中有所作为、重塑天津辉煌，新型城镇化承担新任务。</w:t>
      </w:r>
    </w:p>
    <w:p>
      <w:pPr>
        <w:keepNext/>
        <w:keepLines/>
        <w:spacing w:line="580" w:lineRule="exact"/>
        <w:ind w:firstLine="640" w:firstLineChars="200"/>
        <w:outlineLvl w:val="1"/>
        <w:rPr>
          <w:rFonts w:ascii="楷体" w:hAnsi="楷体" w:eastAsia="楷体"/>
          <w:bCs/>
          <w:sz w:val="32"/>
          <w:szCs w:val="32"/>
        </w:rPr>
      </w:pPr>
      <w:r>
        <w:rPr>
          <w:rFonts w:ascii="楷体" w:hAnsi="楷体" w:eastAsia="楷体"/>
          <w:bCs/>
          <w:sz w:val="32"/>
          <w:szCs w:val="32"/>
        </w:rPr>
        <w:t>（二）新发展特征</w:t>
      </w:r>
    </w:p>
    <w:p>
      <w:pPr>
        <w:spacing w:line="580" w:lineRule="exact"/>
        <w:ind w:firstLine="640" w:firstLineChars="200"/>
        <w:rPr>
          <w:rFonts w:eastAsia="仿宋_GB2312"/>
          <w:bCs/>
          <w:sz w:val="32"/>
          <w:szCs w:val="32"/>
        </w:rPr>
      </w:pPr>
      <w:r>
        <w:rPr>
          <w:rFonts w:eastAsia="楷体"/>
          <w:bCs/>
          <w:sz w:val="32"/>
          <w:szCs w:val="32"/>
        </w:rPr>
        <w:t>历史使命责任更艰巨。</w:t>
      </w:r>
      <w:r>
        <w:rPr>
          <w:rFonts w:eastAsia="仿宋_GB2312"/>
          <w:bCs/>
          <w:sz w:val="32"/>
          <w:szCs w:val="32"/>
        </w:rPr>
        <w:t>新型城镇化是我市实现高质量发展的重要动力、解决不平衡不充分发展问题的重要抓手，在新阶段应有新担当：以城镇化红利接续人口红利、增强内需驱动增长能力；提升城市功能和城市能级、推进世界级城市群建设；建设现代化经济体系、提高城市经济韧性；促进城乡全面融合、实现共同富裕。</w:t>
      </w:r>
    </w:p>
    <w:p>
      <w:pPr>
        <w:spacing w:line="580" w:lineRule="exact"/>
        <w:ind w:firstLine="640" w:firstLineChars="200"/>
        <w:rPr>
          <w:rFonts w:eastAsia="仿宋_GB2312"/>
          <w:bCs/>
          <w:sz w:val="32"/>
          <w:szCs w:val="32"/>
        </w:rPr>
      </w:pPr>
      <w:r>
        <w:rPr>
          <w:rFonts w:eastAsia="楷体"/>
          <w:bCs/>
          <w:sz w:val="32"/>
          <w:szCs w:val="32"/>
        </w:rPr>
        <w:t>提质增效态势更明显。</w:t>
      </w:r>
      <w:r>
        <w:rPr>
          <w:rFonts w:eastAsia="仿宋_GB2312"/>
          <w:bCs/>
          <w:sz w:val="32"/>
          <w:szCs w:val="32"/>
        </w:rPr>
        <w:t>在城镇化水平已位居全国前列、具备建设国际化大都市基础的条件下，面对京津冀世界级城市群建设发展的迫切需求，天津城镇化将从速度导向阶段转向质量导向阶段，提质增效成为重中之重。</w:t>
      </w:r>
    </w:p>
    <w:p>
      <w:pPr>
        <w:spacing w:line="580" w:lineRule="exact"/>
        <w:ind w:firstLine="640" w:firstLineChars="200"/>
        <w:rPr>
          <w:rFonts w:eastAsia="仿宋_GB2312"/>
          <w:bCs/>
          <w:sz w:val="32"/>
          <w:szCs w:val="32"/>
        </w:rPr>
      </w:pPr>
      <w:r>
        <w:rPr>
          <w:rFonts w:eastAsia="楷体"/>
          <w:bCs/>
          <w:sz w:val="32"/>
          <w:szCs w:val="32"/>
        </w:rPr>
        <w:t>城乡融合主线更清晰。</w:t>
      </w:r>
      <w:r>
        <w:rPr>
          <w:rFonts w:eastAsia="仿宋_GB2312"/>
          <w:bCs/>
          <w:sz w:val="32"/>
          <w:szCs w:val="32"/>
        </w:rPr>
        <w:t>城乡融合是消除城乡差距的必由之路。随着新型城镇化发展进入更高级阶段，我市迫切需要通过建立健全城乡融合发展体制机制和政策体系，实现城乡之间共建共享和要素自由流动推动，进而形成工农互促、城乡互补、协调发展、共同繁荣的新型工农城乡关系。</w:t>
      </w:r>
    </w:p>
    <w:p>
      <w:pPr>
        <w:spacing w:line="580" w:lineRule="exact"/>
        <w:ind w:firstLine="640" w:firstLineChars="200"/>
        <w:rPr>
          <w:rFonts w:eastAsia="仿宋_GB2312"/>
          <w:bCs/>
          <w:sz w:val="32"/>
          <w:szCs w:val="32"/>
        </w:rPr>
      </w:pPr>
      <w:r>
        <w:rPr>
          <w:rFonts w:eastAsia="仿宋"/>
          <w:bCs/>
          <w:sz w:val="32"/>
          <w:szCs w:val="32"/>
        </w:rPr>
        <w:t>“</w:t>
      </w:r>
      <w:r>
        <w:rPr>
          <w:rFonts w:eastAsia="楷体"/>
          <w:bCs/>
          <w:sz w:val="32"/>
          <w:szCs w:val="32"/>
        </w:rPr>
        <w:t>三生</w:t>
      </w:r>
      <w:r>
        <w:rPr>
          <w:rFonts w:eastAsia="仿宋"/>
          <w:bCs/>
          <w:sz w:val="32"/>
          <w:szCs w:val="32"/>
        </w:rPr>
        <w:t>”</w:t>
      </w:r>
      <w:r>
        <w:rPr>
          <w:rFonts w:eastAsia="楷体"/>
          <w:bCs/>
          <w:sz w:val="32"/>
          <w:szCs w:val="32"/>
        </w:rPr>
        <w:t>融合导向更明确。</w:t>
      </w:r>
      <w:r>
        <w:rPr>
          <w:rFonts w:eastAsia="仿宋_GB2312"/>
          <w:bCs/>
          <w:sz w:val="32"/>
          <w:szCs w:val="32"/>
        </w:rPr>
        <w:t>面对高质量发展要求和资源环境承载力约束，重视生产、轻视生活、牺牲生态的传统模式不可持续，我市城镇化将更加注重统筹实现生产空间集约高效、生活空间宜居适度、生态空间山清水秀，坚定走生产发展、生活富裕、生态良好的文明发展道路。</w:t>
      </w:r>
    </w:p>
    <w:p>
      <w:pPr>
        <w:keepNext/>
        <w:keepLines/>
        <w:spacing w:line="580" w:lineRule="exact"/>
        <w:ind w:firstLine="640" w:firstLineChars="200"/>
        <w:outlineLvl w:val="1"/>
        <w:rPr>
          <w:rFonts w:ascii="黑体" w:hAnsi="黑体" w:eastAsia="黑体"/>
          <w:bCs/>
          <w:sz w:val="32"/>
          <w:szCs w:val="32"/>
        </w:rPr>
      </w:pPr>
      <w:r>
        <w:rPr>
          <w:rFonts w:ascii="黑体" w:hAnsi="黑体" w:eastAsia="黑体"/>
          <w:bCs/>
          <w:sz w:val="32"/>
          <w:szCs w:val="32"/>
        </w:rPr>
        <w:t>三、总体要求</w:t>
      </w:r>
    </w:p>
    <w:p>
      <w:pPr>
        <w:keepNext/>
        <w:keepLines/>
        <w:spacing w:line="580" w:lineRule="exact"/>
        <w:ind w:firstLine="640" w:firstLineChars="200"/>
        <w:outlineLvl w:val="2"/>
        <w:rPr>
          <w:rFonts w:eastAsia="楷体"/>
          <w:bCs/>
          <w:sz w:val="32"/>
          <w:szCs w:val="32"/>
        </w:rPr>
      </w:pPr>
      <w:r>
        <w:rPr>
          <w:rFonts w:eastAsia="楷体"/>
          <w:bCs/>
          <w:sz w:val="32"/>
          <w:szCs w:val="32"/>
        </w:rPr>
        <w:t>（一）指导思想</w:t>
      </w:r>
    </w:p>
    <w:p>
      <w:pPr>
        <w:spacing w:line="580" w:lineRule="exact"/>
        <w:ind w:firstLine="640" w:firstLineChars="200"/>
        <w:rPr>
          <w:rFonts w:eastAsia="方正仿宋_GBK"/>
          <w:bCs/>
          <w:sz w:val="32"/>
          <w:szCs w:val="32"/>
        </w:rPr>
      </w:pPr>
      <w:r>
        <w:rPr>
          <w:rFonts w:eastAsia="仿宋_GB2312"/>
          <w:bCs/>
          <w:sz w:val="32"/>
          <w:szCs w:val="32"/>
        </w:rPr>
        <w:t>以习近平新时代中国特色社会主义思想为指导，全面贯彻党的十九大和十九届二中、三中、四中、五中、六中全会精神，深入贯彻落实习近平总书记对天津工作提出的“三个着力”重要要求和一系列重要指示精神，牢固树立创新、协调、绿色、开放、共享发展理念，积极服务京津冀世界级城市群的建设要求，准确把握特大中心城市的城市属性与后工业化时期的阶段特性，突出以人为核心的主线，以高质量发展为导向，以实现城乡共同繁荣为目标，着力提高我市农业转移人口的市民化质量，积极推进城乡融合与“三生”融合，夯实产业支撑、空间格局和城市治理多元支撑，激发城镇化发展新动能，增强城市综合承载能力，形成具有国际大都市特色的新型城镇化道路，推进社会主义现代化大都市的建设进程。</w:t>
      </w:r>
    </w:p>
    <w:p>
      <w:pPr>
        <w:keepNext/>
        <w:keepLines/>
        <w:spacing w:line="580" w:lineRule="exact"/>
        <w:ind w:firstLine="640" w:firstLineChars="200"/>
        <w:outlineLvl w:val="2"/>
        <w:rPr>
          <w:rFonts w:eastAsia="楷体"/>
          <w:sz w:val="32"/>
          <w:szCs w:val="32"/>
        </w:rPr>
      </w:pPr>
      <w:r>
        <w:rPr>
          <w:rFonts w:eastAsia="楷体"/>
          <w:sz w:val="32"/>
          <w:szCs w:val="32"/>
        </w:rPr>
        <w:t>（二）基本原则</w:t>
      </w:r>
    </w:p>
    <w:p>
      <w:pPr>
        <w:spacing w:line="580" w:lineRule="exact"/>
        <w:ind w:firstLine="640" w:firstLineChars="200"/>
        <w:rPr>
          <w:rFonts w:eastAsia="仿宋_GB2312"/>
          <w:bCs/>
          <w:sz w:val="32"/>
          <w:szCs w:val="32"/>
        </w:rPr>
      </w:pPr>
      <w:r>
        <w:rPr>
          <w:rFonts w:eastAsia="楷体"/>
          <w:bCs/>
          <w:sz w:val="32"/>
          <w:szCs w:val="32"/>
        </w:rPr>
        <w:t>——以人为本，质量优先。</w:t>
      </w:r>
      <w:r>
        <w:rPr>
          <w:rFonts w:eastAsia="仿宋_GB2312"/>
          <w:bCs/>
          <w:sz w:val="32"/>
          <w:szCs w:val="32"/>
        </w:rPr>
        <w:t>以人的城镇化为核心，加速以人为本的城镇化建设，科学处理质量与数量的关系，杜绝盲目追求城镇化速度的冒进式发展，着力提高新型城镇化发展的质量。</w:t>
      </w:r>
    </w:p>
    <w:p>
      <w:pPr>
        <w:spacing w:line="580" w:lineRule="exact"/>
        <w:ind w:firstLine="640" w:firstLineChars="200"/>
        <w:rPr>
          <w:rFonts w:eastAsia="仿宋_GB2312"/>
          <w:bCs/>
          <w:sz w:val="32"/>
          <w:szCs w:val="32"/>
        </w:rPr>
      </w:pPr>
      <w:r>
        <w:rPr>
          <w:rFonts w:eastAsia="楷体"/>
          <w:bCs/>
          <w:sz w:val="32"/>
          <w:szCs w:val="32"/>
        </w:rPr>
        <w:t>——点面相交，分类推进。</w:t>
      </w:r>
      <w:r>
        <w:rPr>
          <w:rFonts w:eastAsia="仿宋_GB2312"/>
          <w:bCs/>
          <w:sz w:val="32"/>
          <w:szCs w:val="32"/>
        </w:rPr>
        <w:t>既要加强对全市新型城镇化发展的统筹谋划，也要准确把握重点攻坚方向予以优先推进。针对不同地区的发展阶段特点，细化城镇化政策和城镇化模式的空间单元，着力实施因地制宜的分层分类推进路径，使城镇化建设有特色、出亮点、见成效。</w:t>
      </w:r>
    </w:p>
    <w:p>
      <w:pPr>
        <w:spacing w:line="580" w:lineRule="exact"/>
        <w:ind w:firstLine="640" w:firstLineChars="200"/>
        <w:rPr>
          <w:rFonts w:eastAsia="仿宋_GB2312"/>
          <w:bCs/>
          <w:sz w:val="32"/>
          <w:szCs w:val="32"/>
        </w:rPr>
      </w:pPr>
      <w:r>
        <w:rPr>
          <w:rFonts w:eastAsia="楷体"/>
          <w:bCs/>
          <w:sz w:val="32"/>
          <w:szCs w:val="32"/>
        </w:rPr>
        <w:t>——创新引领，区域联动。</w:t>
      </w:r>
      <w:r>
        <w:rPr>
          <w:rFonts w:eastAsia="仿宋_GB2312"/>
          <w:bCs/>
          <w:sz w:val="32"/>
          <w:szCs w:val="32"/>
        </w:rPr>
        <w:t>紧扣京津冀协同发展战略要求，着力推进城镇化提质增效，实现天津国际化大都市建设与京津冀世界级城市群建设的共赢。积极深化重点领域和关键环节改革，探索要素市场化配置和城乡融合发展等新机制，为激发新型城镇化新动能和实现区域联动发展提供制度保障。</w:t>
      </w:r>
    </w:p>
    <w:p>
      <w:pPr>
        <w:spacing w:line="580" w:lineRule="exact"/>
        <w:ind w:firstLine="640" w:firstLineChars="200"/>
        <w:rPr>
          <w:rFonts w:hint="eastAsia" w:eastAsia="仿宋_GB2312"/>
          <w:bCs/>
          <w:sz w:val="32"/>
          <w:szCs w:val="32"/>
        </w:rPr>
      </w:pPr>
      <w:r>
        <w:rPr>
          <w:rFonts w:eastAsia="楷体"/>
          <w:sz w:val="32"/>
          <w:szCs w:val="32"/>
        </w:rPr>
        <w:t>——有序匹配，</w:t>
      </w:r>
      <w:r>
        <w:rPr>
          <w:rFonts w:eastAsia="仿宋"/>
          <w:sz w:val="32"/>
          <w:szCs w:val="32"/>
        </w:rPr>
        <w:t>“</w:t>
      </w:r>
      <w:r>
        <w:rPr>
          <w:rFonts w:eastAsia="楷体"/>
          <w:sz w:val="32"/>
          <w:szCs w:val="32"/>
        </w:rPr>
        <w:t>三生</w:t>
      </w:r>
      <w:r>
        <w:rPr>
          <w:rFonts w:eastAsia="仿宋"/>
          <w:sz w:val="32"/>
          <w:szCs w:val="32"/>
        </w:rPr>
        <w:t>”</w:t>
      </w:r>
      <w:r>
        <w:rPr>
          <w:rFonts w:eastAsia="楷体"/>
          <w:sz w:val="32"/>
          <w:szCs w:val="32"/>
        </w:rPr>
        <w:t>融合。</w:t>
      </w:r>
      <w:r>
        <w:rPr>
          <w:rFonts w:eastAsia="仿宋_GB2312"/>
          <w:bCs/>
          <w:sz w:val="32"/>
          <w:szCs w:val="32"/>
        </w:rPr>
        <w:t>科学地把握城镇化速度、规模与模式，确保城镇化速度与产业体系发展相匹配，城镇化规模与资源环境承载力相匹配，城镇化模式与人民对美好生活需求相匹配，追求高效率生产活动、高品质生活、高水平生态环境之间的有机融合，提升城市舒适性与包容性。</w:t>
      </w:r>
    </w:p>
    <w:p>
      <w:pPr>
        <w:keepNext/>
        <w:keepLines/>
        <w:spacing w:line="580" w:lineRule="exact"/>
        <w:ind w:firstLine="640" w:firstLineChars="200"/>
        <w:outlineLvl w:val="2"/>
        <w:rPr>
          <w:rFonts w:eastAsia="楷体"/>
          <w:sz w:val="32"/>
          <w:szCs w:val="32"/>
        </w:rPr>
      </w:pPr>
      <w:r>
        <w:rPr>
          <w:rFonts w:eastAsia="楷体"/>
          <w:sz w:val="32"/>
          <w:szCs w:val="32"/>
        </w:rPr>
        <w:t>（三）发展目标</w:t>
      </w:r>
    </w:p>
    <w:p>
      <w:pPr>
        <w:spacing w:line="580" w:lineRule="exact"/>
        <w:ind w:firstLine="640" w:firstLineChars="200"/>
        <w:rPr>
          <w:rFonts w:eastAsia="仿宋_GB2312"/>
          <w:bCs/>
          <w:kern w:val="0"/>
          <w:sz w:val="32"/>
          <w:szCs w:val="32"/>
        </w:rPr>
      </w:pPr>
      <w:r>
        <w:rPr>
          <w:rFonts w:eastAsia="仿宋_GB2312"/>
          <w:bCs/>
          <w:kern w:val="0"/>
          <w:sz w:val="32"/>
          <w:szCs w:val="32"/>
        </w:rPr>
        <w:t>围绕天津市到二</w:t>
      </w:r>
      <w:r>
        <w:rPr>
          <w:rFonts w:hint="eastAsia" w:ascii="宋体" w:hAnsi="宋体" w:cs="宋体"/>
          <w:bCs/>
          <w:kern w:val="0"/>
          <w:sz w:val="32"/>
          <w:szCs w:val="32"/>
        </w:rPr>
        <w:t>〇</w:t>
      </w:r>
      <w:r>
        <w:rPr>
          <w:rFonts w:hint="eastAsia" w:ascii="仿宋_GB2312" w:hAnsi="仿宋_GB2312" w:eastAsia="仿宋_GB2312" w:cs="仿宋_GB2312"/>
          <w:bCs/>
          <w:kern w:val="0"/>
          <w:sz w:val="32"/>
          <w:szCs w:val="32"/>
        </w:rPr>
        <w:t>三五年基本建成社会主义现代化大都市的远景目标，</w:t>
      </w:r>
      <w:r>
        <w:rPr>
          <w:rFonts w:eastAsia="仿宋_GB2312"/>
          <w:bCs/>
          <w:kern w:val="0"/>
          <w:sz w:val="32"/>
          <w:szCs w:val="32"/>
        </w:rPr>
        <w:t>到2035年，城市综合承载能力显著增强，功能品质更加完善，</w:t>
      </w:r>
      <w:r>
        <w:rPr>
          <w:rFonts w:eastAsia="仿宋_GB2312"/>
          <w:color w:val="000000"/>
          <w:kern w:val="0"/>
          <w:sz w:val="31"/>
          <w:szCs w:val="31"/>
        </w:rPr>
        <w:t>新型城镇化全面实现，</w:t>
      </w:r>
      <w:r>
        <w:rPr>
          <w:rFonts w:eastAsia="仿宋_GB2312"/>
          <w:bCs/>
          <w:kern w:val="0"/>
          <w:sz w:val="32"/>
          <w:szCs w:val="32"/>
        </w:rPr>
        <w:t>将我市建成</w:t>
      </w:r>
      <w:r>
        <w:rPr>
          <w:rFonts w:eastAsia="仿宋_GB2312"/>
          <w:color w:val="000000"/>
          <w:kern w:val="0"/>
          <w:sz w:val="31"/>
          <w:szCs w:val="31"/>
        </w:rPr>
        <w:t>宜居、创新、智慧、绿色、人文、韧性的</w:t>
      </w:r>
      <w:r>
        <w:rPr>
          <w:rFonts w:eastAsia="仿宋_GB2312"/>
          <w:bCs/>
          <w:kern w:val="0"/>
          <w:sz w:val="32"/>
          <w:szCs w:val="32"/>
        </w:rPr>
        <w:t>全国特大城市新型城镇化的典型示范城市和知名国际化大都市。</w:t>
      </w:r>
    </w:p>
    <w:p>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80" w:lineRule="exact"/>
        <w:ind w:firstLine="640" w:firstLineChars="200"/>
        <w:rPr>
          <w:rFonts w:eastAsia="仿宋_GB2312"/>
          <w:bCs/>
          <w:kern w:val="0"/>
          <w:sz w:val="32"/>
          <w:szCs w:val="32"/>
        </w:rPr>
      </w:pPr>
      <w:r>
        <w:rPr>
          <w:rFonts w:eastAsia="仿宋"/>
          <w:bCs/>
          <w:kern w:val="0"/>
          <w:sz w:val="32"/>
          <w:szCs w:val="32"/>
        </w:rPr>
        <w:t>“</w:t>
      </w:r>
      <w:r>
        <w:rPr>
          <w:rFonts w:eastAsia="仿宋_GB2312"/>
          <w:bCs/>
          <w:kern w:val="0"/>
          <w:sz w:val="32"/>
          <w:szCs w:val="32"/>
        </w:rPr>
        <w:t>十四五</w:t>
      </w:r>
      <w:r>
        <w:rPr>
          <w:rFonts w:eastAsia="仿宋"/>
          <w:bCs/>
          <w:kern w:val="0"/>
          <w:sz w:val="32"/>
          <w:szCs w:val="32"/>
        </w:rPr>
        <w:t>”</w:t>
      </w:r>
      <w:r>
        <w:rPr>
          <w:rFonts w:eastAsia="仿宋_GB2312"/>
          <w:bCs/>
          <w:kern w:val="0"/>
          <w:sz w:val="32"/>
          <w:szCs w:val="32"/>
        </w:rPr>
        <w:t>期间，全面实施以人为本、高质量发展、</w:t>
      </w:r>
      <w:r>
        <w:rPr>
          <w:rFonts w:eastAsia="仿宋"/>
          <w:bCs/>
          <w:kern w:val="0"/>
          <w:sz w:val="32"/>
          <w:szCs w:val="32"/>
        </w:rPr>
        <w:t>“</w:t>
      </w:r>
      <w:r>
        <w:rPr>
          <w:rFonts w:eastAsia="仿宋_GB2312"/>
          <w:bCs/>
          <w:kern w:val="0"/>
          <w:sz w:val="32"/>
          <w:szCs w:val="32"/>
        </w:rPr>
        <w:t>四化</w:t>
      </w:r>
      <w:r>
        <w:rPr>
          <w:rFonts w:eastAsia="仿宋"/>
          <w:bCs/>
          <w:kern w:val="0"/>
          <w:sz w:val="32"/>
          <w:szCs w:val="32"/>
        </w:rPr>
        <w:t>”</w:t>
      </w:r>
      <w:r>
        <w:rPr>
          <w:rFonts w:eastAsia="仿宋_GB2312"/>
          <w:bCs/>
          <w:kern w:val="0"/>
          <w:sz w:val="32"/>
          <w:szCs w:val="32"/>
        </w:rPr>
        <w:t>协调、</w:t>
      </w:r>
      <w:r>
        <w:rPr>
          <w:rFonts w:eastAsia="仿宋"/>
          <w:bCs/>
          <w:kern w:val="0"/>
          <w:sz w:val="32"/>
          <w:szCs w:val="32"/>
        </w:rPr>
        <w:t>“</w:t>
      </w:r>
      <w:r>
        <w:rPr>
          <w:rFonts w:eastAsia="仿宋_GB2312"/>
          <w:bCs/>
          <w:kern w:val="0"/>
          <w:sz w:val="32"/>
          <w:szCs w:val="32"/>
        </w:rPr>
        <w:t>三生</w:t>
      </w:r>
      <w:r>
        <w:rPr>
          <w:rFonts w:eastAsia="仿宋"/>
          <w:bCs/>
          <w:kern w:val="0"/>
          <w:sz w:val="32"/>
          <w:szCs w:val="32"/>
        </w:rPr>
        <w:t>”</w:t>
      </w:r>
      <w:r>
        <w:rPr>
          <w:rFonts w:eastAsia="仿宋_GB2312"/>
          <w:bCs/>
          <w:kern w:val="0"/>
          <w:sz w:val="32"/>
          <w:szCs w:val="32"/>
        </w:rPr>
        <w:t>融合的新型城镇化战略，力争实现以下四方面的目标。</w:t>
      </w:r>
    </w:p>
    <w:p>
      <w:pPr>
        <w:spacing w:line="580" w:lineRule="exact"/>
        <w:ind w:firstLine="640" w:firstLineChars="200"/>
        <w:rPr>
          <w:rFonts w:eastAsia="仿宋_GB2312"/>
          <w:bCs/>
          <w:sz w:val="32"/>
          <w:szCs w:val="32"/>
        </w:rPr>
      </w:pPr>
      <w:r>
        <w:rPr>
          <w:rFonts w:eastAsia="楷体"/>
          <w:sz w:val="32"/>
          <w:szCs w:val="32"/>
        </w:rPr>
        <w:t>——城镇化质量显著提高。</w:t>
      </w:r>
      <w:r>
        <w:rPr>
          <w:rFonts w:eastAsia="仿宋_GB2312"/>
          <w:bCs/>
          <w:sz w:val="32"/>
          <w:szCs w:val="32"/>
        </w:rPr>
        <w:t>力争到2025年常住人口城镇化率达到86%。城乡融合程度不断提高，更好地实现城乡公共设施与基础设施建设联动发展、城乡要素平等交换和公共资源均衡配置。</w:t>
      </w:r>
    </w:p>
    <w:p>
      <w:pPr>
        <w:spacing w:line="580" w:lineRule="exact"/>
        <w:ind w:firstLine="640" w:firstLineChars="200"/>
        <w:rPr>
          <w:rFonts w:eastAsia="仿宋_GB2312"/>
          <w:bCs/>
          <w:sz w:val="32"/>
          <w:szCs w:val="32"/>
        </w:rPr>
      </w:pPr>
      <w:r>
        <w:rPr>
          <w:rFonts w:eastAsia="楷体"/>
          <w:sz w:val="32"/>
          <w:szCs w:val="32"/>
        </w:rPr>
        <w:t>——城镇化布局不断优化。</w:t>
      </w:r>
      <w:r>
        <w:rPr>
          <w:rFonts w:eastAsia="仿宋"/>
          <w:bCs/>
          <w:sz w:val="32"/>
          <w:szCs w:val="32"/>
        </w:rPr>
        <w:t>“</w:t>
      </w:r>
      <w:r>
        <w:rPr>
          <w:rFonts w:eastAsia="仿宋_GB2312"/>
          <w:bCs/>
          <w:sz w:val="32"/>
          <w:szCs w:val="32"/>
        </w:rPr>
        <w:t>一市双城多节点</w:t>
      </w:r>
      <w:r>
        <w:rPr>
          <w:rFonts w:eastAsia="仿宋"/>
          <w:bCs/>
          <w:sz w:val="32"/>
          <w:szCs w:val="32"/>
        </w:rPr>
        <w:t>”</w:t>
      </w:r>
      <w:r>
        <w:rPr>
          <w:rFonts w:eastAsia="仿宋_GB2312"/>
          <w:bCs/>
          <w:sz w:val="32"/>
          <w:szCs w:val="32"/>
        </w:rPr>
        <w:t>的城镇功能空间格局更加完善，中心城区的国际大都市区功能更完备，滨海新区建成创新宜居的海滨城市，节点地区的城乡融合程度逐渐深化，城市要素聚集能力显著改善，人口布局与经济布局更加合理，国土开发利用效率明显提高。</w:t>
      </w:r>
    </w:p>
    <w:p>
      <w:pPr>
        <w:spacing w:line="580" w:lineRule="exact"/>
        <w:ind w:firstLine="640" w:firstLineChars="200"/>
        <w:rPr>
          <w:rFonts w:eastAsia="仿宋_GB2312"/>
          <w:bCs/>
          <w:sz w:val="32"/>
          <w:szCs w:val="32"/>
        </w:rPr>
      </w:pPr>
      <w:r>
        <w:rPr>
          <w:rFonts w:eastAsia="楷体"/>
          <w:sz w:val="32"/>
          <w:szCs w:val="32"/>
        </w:rPr>
        <w:t>——城市生活品质明显提升。</w:t>
      </w:r>
      <w:r>
        <w:rPr>
          <w:rFonts w:eastAsia="仿宋_GB2312"/>
          <w:bCs/>
          <w:sz w:val="32"/>
          <w:szCs w:val="32"/>
        </w:rPr>
        <w:t>国际化大都市城市功能显著增强，智慧化和现代化城市治理体系趋于完善，城镇发展更加集约高效，公共服务不断提高，基础设施更加完善，生态环境明显改善，城市文化得到有效传承，城市舒适性、包容性与柔韧性显著提升。</w:t>
      </w:r>
    </w:p>
    <w:p>
      <w:pPr>
        <w:spacing w:line="580" w:lineRule="exact"/>
        <w:ind w:firstLine="640" w:firstLineChars="200"/>
        <w:rPr>
          <w:rFonts w:eastAsia="仿宋_GB2312"/>
          <w:bCs/>
          <w:sz w:val="32"/>
          <w:szCs w:val="32"/>
        </w:rPr>
      </w:pPr>
      <w:r>
        <w:rPr>
          <w:rFonts w:eastAsia="楷体"/>
          <w:sz w:val="32"/>
          <w:szCs w:val="32"/>
        </w:rPr>
        <w:t>——城镇化体制机制更加完善。</w:t>
      </w:r>
      <w:r>
        <w:rPr>
          <w:rFonts w:eastAsia="仿宋_GB2312"/>
          <w:bCs/>
          <w:sz w:val="32"/>
          <w:szCs w:val="32"/>
        </w:rPr>
        <w:t>城乡公共服务一体化改革取得积极进展，土地管理、财税金融、行政管理和城镇建设等制度更加健全，投融资环境、生态环境保护、农业转移人口市民化等体制机制不断创新。</w:t>
      </w:r>
    </w:p>
    <w:p>
      <w:pPr>
        <w:rPr>
          <w:rFonts w:eastAsia="CESI仿宋-GB2312"/>
          <w:szCs w:val="21"/>
        </w:rPr>
      </w:pPr>
    </w:p>
    <w:p>
      <w:pPr>
        <w:rPr>
          <w:rFonts w:eastAsia="CESI仿宋-GB2312"/>
          <w:szCs w:val="21"/>
        </w:rPr>
      </w:pPr>
    </w:p>
    <w:p>
      <w:pPr>
        <w:rPr>
          <w:rFonts w:eastAsia="CESI仿宋-GB2312"/>
          <w:szCs w:val="21"/>
        </w:rPr>
      </w:pPr>
    </w:p>
    <w:p>
      <w:pPr>
        <w:spacing w:line="580" w:lineRule="exact"/>
        <w:jc w:val="center"/>
        <w:rPr>
          <w:rFonts w:eastAsia="楷体"/>
          <w:b/>
          <w:bCs/>
          <w:sz w:val="28"/>
          <w:szCs w:val="22"/>
        </w:rPr>
      </w:pPr>
      <w:r>
        <w:rPr>
          <w:rFonts w:eastAsia="楷体"/>
          <w:b/>
          <w:bCs/>
          <w:sz w:val="28"/>
          <w:szCs w:val="22"/>
        </w:rPr>
        <w:t xml:space="preserve"> 天津市新型城镇化“十四五”指标体系表</w:t>
      </w:r>
    </w:p>
    <w:p>
      <w:pPr>
        <w:rPr>
          <w:rFonts w:eastAsia="CESI仿宋-GB2312"/>
          <w:szCs w:val="21"/>
        </w:rPr>
      </w:pPr>
    </w:p>
    <w:tbl>
      <w:tblPr>
        <w:tblStyle w:val="2"/>
        <w:tblW w:w="5270" w:type="pct"/>
        <w:tblInd w:w="-119" w:type="dxa"/>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598"/>
        <w:gridCol w:w="5007"/>
        <w:gridCol w:w="945"/>
        <w:gridCol w:w="1301"/>
        <w:gridCol w:w="963"/>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340" w:type="pct"/>
            <w:tcBorders>
              <w:left w:val="single" w:color="auto" w:sz="4" w:space="0"/>
            </w:tcBorders>
            <w:noWrap w:val="0"/>
            <w:tcMar>
              <w:left w:w="28" w:type="dxa"/>
              <w:right w:w="28" w:type="dxa"/>
            </w:tcMar>
            <w:vAlign w:val="center"/>
          </w:tcPr>
          <w:p>
            <w:pPr>
              <w:adjustRightInd w:val="0"/>
              <w:snapToGrid w:val="0"/>
              <w:spacing w:line="580" w:lineRule="exact"/>
              <w:jc w:val="center"/>
              <w:rPr>
                <w:rFonts w:eastAsia="仿宋_GB2312"/>
                <w:b/>
                <w:bCs/>
                <w:sz w:val="24"/>
                <w:szCs w:val="24"/>
              </w:rPr>
            </w:pPr>
            <w:r>
              <w:rPr>
                <w:rFonts w:eastAsia="仿宋_GB2312"/>
                <w:b/>
                <w:bCs/>
                <w:sz w:val="24"/>
                <w:szCs w:val="24"/>
              </w:rPr>
              <w:t>序号</w:t>
            </w:r>
          </w:p>
        </w:tc>
        <w:tc>
          <w:tcPr>
            <w:tcW w:w="2839" w:type="pct"/>
            <w:noWrap w:val="0"/>
            <w:tcMar>
              <w:left w:w="28" w:type="dxa"/>
              <w:right w:w="28" w:type="dxa"/>
            </w:tcMar>
            <w:vAlign w:val="center"/>
          </w:tcPr>
          <w:p>
            <w:pPr>
              <w:adjustRightInd w:val="0"/>
              <w:snapToGrid w:val="0"/>
              <w:spacing w:line="580" w:lineRule="exact"/>
              <w:jc w:val="center"/>
              <w:rPr>
                <w:rFonts w:eastAsia="仿宋_GB2312"/>
                <w:b/>
                <w:bCs/>
                <w:sz w:val="24"/>
                <w:szCs w:val="24"/>
              </w:rPr>
            </w:pPr>
            <w:r>
              <w:rPr>
                <w:rFonts w:eastAsia="仿宋_GB2312"/>
                <w:b/>
                <w:bCs/>
                <w:sz w:val="24"/>
                <w:szCs w:val="24"/>
              </w:rPr>
              <w:t>指  标</w:t>
            </w:r>
          </w:p>
        </w:tc>
        <w:tc>
          <w:tcPr>
            <w:tcW w:w="536" w:type="pct"/>
            <w:noWrap w:val="0"/>
            <w:tcMar>
              <w:left w:w="28" w:type="dxa"/>
              <w:right w:w="28" w:type="dxa"/>
            </w:tcMar>
            <w:vAlign w:val="center"/>
          </w:tcPr>
          <w:p>
            <w:pPr>
              <w:adjustRightInd w:val="0"/>
              <w:snapToGrid w:val="0"/>
              <w:spacing w:line="580" w:lineRule="exact"/>
              <w:jc w:val="center"/>
              <w:rPr>
                <w:rFonts w:eastAsia="仿宋_GB2312"/>
                <w:b/>
                <w:bCs/>
                <w:sz w:val="24"/>
                <w:szCs w:val="24"/>
              </w:rPr>
            </w:pPr>
            <w:r>
              <w:rPr>
                <w:rFonts w:eastAsia="仿宋_GB2312"/>
                <w:b/>
                <w:bCs/>
                <w:sz w:val="24"/>
                <w:szCs w:val="24"/>
              </w:rPr>
              <w:t>2020年</w:t>
            </w:r>
          </w:p>
        </w:tc>
        <w:tc>
          <w:tcPr>
            <w:tcW w:w="738" w:type="pct"/>
            <w:noWrap w:val="0"/>
            <w:tcMar>
              <w:left w:w="28" w:type="dxa"/>
              <w:right w:w="28" w:type="dxa"/>
            </w:tcMar>
            <w:vAlign w:val="center"/>
          </w:tcPr>
          <w:p>
            <w:pPr>
              <w:adjustRightInd w:val="0"/>
              <w:snapToGrid w:val="0"/>
              <w:spacing w:line="580" w:lineRule="exact"/>
              <w:jc w:val="center"/>
              <w:rPr>
                <w:rFonts w:eastAsia="仿宋_GB2312"/>
                <w:b/>
                <w:bCs/>
                <w:sz w:val="24"/>
                <w:szCs w:val="24"/>
              </w:rPr>
            </w:pPr>
            <w:r>
              <w:rPr>
                <w:rFonts w:eastAsia="仿宋_GB2312"/>
                <w:b/>
                <w:bCs/>
                <w:sz w:val="24"/>
                <w:szCs w:val="24"/>
              </w:rPr>
              <w:t>2025年</w:t>
            </w:r>
          </w:p>
        </w:tc>
        <w:tc>
          <w:tcPr>
            <w:tcW w:w="546" w:type="pct"/>
            <w:tcBorders>
              <w:right w:val="single" w:color="auto" w:sz="4" w:space="0"/>
            </w:tcBorders>
            <w:noWrap w:val="0"/>
            <w:tcMar>
              <w:left w:w="28" w:type="dxa"/>
              <w:right w:w="28" w:type="dxa"/>
            </w:tcMar>
            <w:vAlign w:val="center"/>
          </w:tcPr>
          <w:p>
            <w:pPr>
              <w:adjustRightInd w:val="0"/>
              <w:snapToGrid w:val="0"/>
              <w:spacing w:line="580" w:lineRule="exact"/>
              <w:jc w:val="center"/>
              <w:rPr>
                <w:rFonts w:eastAsia="仿宋_GB2312"/>
                <w:b/>
                <w:bCs/>
                <w:sz w:val="24"/>
                <w:szCs w:val="24"/>
              </w:rPr>
            </w:pPr>
            <w:r>
              <w:rPr>
                <w:rFonts w:eastAsia="仿宋_GB2312"/>
                <w:b/>
                <w:bCs/>
                <w:sz w:val="24"/>
                <w:szCs w:val="24"/>
              </w:rPr>
              <w:t>属性</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340" w:type="pct"/>
            <w:tcBorders>
              <w:left w:val="single" w:color="auto" w:sz="4" w:space="0"/>
            </w:tcBorders>
            <w:noWrap w:val="0"/>
            <w:tcMar>
              <w:left w:w="28" w:type="dxa"/>
              <w:right w:w="28" w:type="dxa"/>
            </w:tcMar>
            <w:vAlign w:val="center"/>
          </w:tcPr>
          <w:p>
            <w:pPr>
              <w:adjustRightInd w:val="0"/>
              <w:snapToGrid w:val="0"/>
              <w:spacing w:line="580" w:lineRule="exact"/>
              <w:jc w:val="center"/>
              <w:rPr>
                <w:rFonts w:eastAsia="仿宋_GB2312"/>
                <w:sz w:val="24"/>
                <w:szCs w:val="24"/>
              </w:rPr>
            </w:pPr>
            <w:r>
              <w:rPr>
                <w:rFonts w:eastAsia="仿宋_GB2312"/>
                <w:sz w:val="24"/>
                <w:szCs w:val="24"/>
              </w:rPr>
              <w:t>1</w:t>
            </w:r>
          </w:p>
        </w:tc>
        <w:tc>
          <w:tcPr>
            <w:tcW w:w="2839" w:type="pct"/>
            <w:noWrap w:val="0"/>
            <w:tcMar>
              <w:left w:w="28" w:type="dxa"/>
              <w:right w:w="28" w:type="dxa"/>
            </w:tcMar>
            <w:vAlign w:val="center"/>
          </w:tcPr>
          <w:p>
            <w:pPr>
              <w:adjustRightInd w:val="0"/>
              <w:snapToGrid w:val="0"/>
              <w:spacing w:line="580" w:lineRule="exact"/>
              <w:jc w:val="left"/>
              <w:rPr>
                <w:rFonts w:eastAsia="仿宋_GB2312"/>
                <w:sz w:val="24"/>
                <w:szCs w:val="24"/>
              </w:rPr>
            </w:pPr>
            <w:r>
              <w:rPr>
                <w:rFonts w:eastAsia="仿宋_GB2312"/>
                <w:sz w:val="24"/>
                <w:szCs w:val="24"/>
              </w:rPr>
              <w:t>常住人口城镇化率（%）</w:t>
            </w:r>
          </w:p>
        </w:tc>
        <w:tc>
          <w:tcPr>
            <w:tcW w:w="536" w:type="pct"/>
            <w:noWrap w:val="0"/>
            <w:tcMar>
              <w:left w:w="28" w:type="dxa"/>
              <w:right w:w="28" w:type="dxa"/>
            </w:tcMar>
            <w:vAlign w:val="center"/>
          </w:tcPr>
          <w:p>
            <w:pPr>
              <w:adjustRightInd w:val="0"/>
              <w:snapToGrid w:val="0"/>
              <w:spacing w:line="580" w:lineRule="exact"/>
              <w:jc w:val="left"/>
              <w:rPr>
                <w:rFonts w:eastAsia="仿宋_GB2312"/>
                <w:sz w:val="24"/>
                <w:szCs w:val="24"/>
              </w:rPr>
            </w:pPr>
            <w:r>
              <w:rPr>
                <w:rFonts w:eastAsia="仿宋_GB2312"/>
                <w:sz w:val="24"/>
                <w:szCs w:val="24"/>
              </w:rPr>
              <w:t>84.7</w:t>
            </w:r>
          </w:p>
        </w:tc>
        <w:tc>
          <w:tcPr>
            <w:tcW w:w="738" w:type="pct"/>
            <w:noWrap w:val="0"/>
            <w:tcMar>
              <w:left w:w="28" w:type="dxa"/>
              <w:right w:w="28" w:type="dxa"/>
            </w:tcMar>
            <w:vAlign w:val="center"/>
          </w:tcPr>
          <w:p>
            <w:pPr>
              <w:adjustRightInd w:val="0"/>
              <w:snapToGrid w:val="0"/>
              <w:spacing w:line="580" w:lineRule="exact"/>
              <w:jc w:val="left"/>
              <w:rPr>
                <w:rFonts w:eastAsia="仿宋_GB2312"/>
                <w:sz w:val="24"/>
                <w:szCs w:val="24"/>
              </w:rPr>
            </w:pPr>
            <w:r>
              <w:rPr>
                <w:rFonts w:eastAsia="仿宋_GB2312"/>
                <w:sz w:val="24"/>
                <w:szCs w:val="24"/>
              </w:rPr>
              <w:t>86</w:t>
            </w:r>
          </w:p>
        </w:tc>
        <w:tc>
          <w:tcPr>
            <w:tcW w:w="546" w:type="pct"/>
            <w:tcBorders>
              <w:right w:val="single" w:color="auto" w:sz="4" w:space="0"/>
            </w:tcBorders>
            <w:noWrap w:val="0"/>
            <w:tcMar>
              <w:left w:w="28" w:type="dxa"/>
              <w:right w:w="28" w:type="dxa"/>
            </w:tcMar>
            <w:vAlign w:val="center"/>
          </w:tcPr>
          <w:p>
            <w:pPr>
              <w:adjustRightInd w:val="0"/>
              <w:snapToGrid w:val="0"/>
              <w:spacing w:line="580" w:lineRule="exact"/>
              <w:jc w:val="left"/>
              <w:rPr>
                <w:rFonts w:eastAsia="仿宋_GB2312"/>
                <w:sz w:val="24"/>
                <w:szCs w:val="24"/>
              </w:rPr>
            </w:pPr>
            <w:r>
              <w:rPr>
                <w:rFonts w:eastAsia="仿宋_GB2312"/>
                <w:sz w:val="24"/>
                <w:szCs w:val="24"/>
              </w:rPr>
              <w:t>预期性</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81" w:hRule="atLeast"/>
        </w:trPr>
        <w:tc>
          <w:tcPr>
            <w:tcW w:w="340" w:type="pct"/>
            <w:tcBorders>
              <w:left w:val="single" w:color="auto" w:sz="4" w:space="0"/>
            </w:tcBorders>
            <w:noWrap w:val="0"/>
            <w:tcMar>
              <w:left w:w="28" w:type="dxa"/>
              <w:right w:w="28" w:type="dxa"/>
            </w:tcMar>
            <w:vAlign w:val="center"/>
          </w:tcPr>
          <w:p>
            <w:pPr>
              <w:adjustRightInd w:val="0"/>
              <w:snapToGrid w:val="0"/>
              <w:jc w:val="center"/>
              <w:rPr>
                <w:rFonts w:eastAsia="仿宋_GB2312"/>
                <w:sz w:val="24"/>
                <w:szCs w:val="24"/>
              </w:rPr>
            </w:pPr>
            <w:r>
              <w:rPr>
                <w:rFonts w:eastAsia="仿宋_GB2312"/>
                <w:sz w:val="24"/>
                <w:szCs w:val="24"/>
              </w:rPr>
              <w:t>2</w:t>
            </w:r>
          </w:p>
        </w:tc>
        <w:tc>
          <w:tcPr>
            <w:tcW w:w="2839" w:type="pct"/>
            <w:noWrap w:val="0"/>
            <w:tcMar>
              <w:left w:w="28" w:type="dxa"/>
              <w:right w:w="28" w:type="dxa"/>
            </w:tcMar>
            <w:vAlign w:val="center"/>
          </w:tcPr>
          <w:p>
            <w:pPr>
              <w:adjustRightInd w:val="0"/>
              <w:snapToGrid w:val="0"/>
              <w:jc w:val="left"/>
              <w:rPr>
                <w:rFonts w:eastAsia="仿宋_GB2312"/>
                <w:sz w:val="24"/>
                <w:szCs w:val="24"/>
              </w:rPr>
            </w:pPr>
            <w:r>
              <w:rPr>
                <w:rFonts w:eastAsia="仿宋_GB2312"/>
                <w:sz w:val="24"/>
                <w:szCs w:val="24"/>
              </w:rPr>
              <w:t>居民人均可支配收入增长（%）</w:t>
            </w:r>
          </w:p>
        </w:tc>
        <w:tc>
          <w:tcPr>
            <w:tcW w:w="536" w:type="pct"/>
            <w:noWrap w:val="0"/>
            <w:tcMar>
              <w:left w:w="28" w:type="dxa"/>
              <w:right w:w="28" w:type="dxa"/>
            </w:tcMar>
            <w:vAlign w:val="center"/>
          </w:tcPr>
          <w:p>
            <w:pPr>
              <w:adjustRightInd w:val="0"/>
              <w:snapToGrid w:val="0"/>
              <w:jc w:val="left"/>
              <w:rPr>
                <w:rFonts w:eastAsia="仿宋_GB2312"/>
                <w:sz w:val="24"/>
                <w:szCs w:val="24"/>
                <w:lang w:val="en"/>
              </w:rPr>
            </w:pPr>
            <w:r>
              <w:rPr>
                <w:rFonts w:eastAsia="仿宋_GB2312"/>
                <w:sz w:val="24"/>
                <w:szCs w:val="24"/>
              </w:rPr>
              <w:t>7</w:t>
            </w:r>
            <w:r>
              <w:rPr>
                <w:rFonts w:eastAsia="仿宋_GB2312"/>
                <w:sz w:val="18"/>
                <w:szCs w:val="18"/>
              </w:rPr>
              <w:t>（“十三五”期间年均增幅）</w:t>
            </w:r>
          </w:p>
        </w:tc>
        <w:tc>
          <w:tcPr>
            <w:tcW w:w="738" w:type="pct"/>
            <w:noWrap w:val="0"/>
            <w:tcMar>
              <w:left w:w="28" w:type="dxa"/>
              <w:right w:w="28" w:type="dxa"/>
            </w:tcMar>
            <w:vAlign w:val="center"/>
          </w:tcPr>
          <w:p>
            <w:pPr>
              <w:adjustRightInd w:val="0"/>
              <w:snapToGrid w:val="0"/>
              <w:jc w:val="left"/>
              <w:rPr>
                <w:rFonts w:eastAsia="仿宋_GB2312"/>
                <w:sz w:val="24"/>
                <w:szCs w:val="24"/>
              </w:rPr>
            </w:pPr>
            <w:r>
              <w:rPr>
                <w:rFonts w:eastAsia="仿宋_GB2312"/>
                <w:sz w:val="24"/>
                <w:szCs w:val="24"/>
              </w:rPr>
              <w:t>与经济增长基本同步</w:t>
            </w:r>
          </w:p>
        </w:tc>
        <w:tc>
          <w:tcPr>
            <w:tcW w:w="546" w:type="pct"/>
            <w:tcBorders>
              <w:right w:val="single" w:color="auto" w:sz="4" w:space="0"/>
            </w:tcBorders>
            <w:noWrap w:val="0"/>
            <w:tcMar>
              <w:left w:w="28" w:type="dxa"/>
              <w:right w:w="28" w:type="dxa"/>
            </w:tcMar>
            <w:vAlign w:val="center"/>
          </w:tcPr>
          <w:p>
            <w:pPr>
              <w:adjustRightInd w:val="0"/>
              <w:snapToGrid w:val="0"/>
              <w:jc w:val="left"/>
              <w:rPr>
                <w:rFonts w:eastAsia="仿宋_GB2312"/>
                <w:sz w:val="24"/>
                <w:szCs w:val="24"/>
              </w:rPr>
            </w:pPr>
            <w:r>
              <w:rPr>
                <w:rFonts w:eastAsia="仿宋_GB2312"/>
                <w:sz w:val="24"/>
                <w:szCs w:val="24"/>
              </w:rPr>
              <w:t>预期性</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56" w:hRule="atLeast"/>
        </w:trPr>
        <w:tc>
          <w:tcPr>
            <w:tcW w:w="340" w:type="pct"/>
            <w:tcBorders>
              <w:left w:val="single" w:color="auto" w:sz="4" w:space="0"/>
            </w:tcBorders>
            <w:noWrap w:val="0"/>
            <w:tcMar>
              <w:left w:w="28" w:type="dxa"/>
              <w:right w:w="28" w:type="dxa"/>
            </w:tcMar>
            <w:vAlign w:val="center"/>
          </w:tcPr>
          <w:p>
            <w:pPr>
              <w:adjustRightInd w:val="0"/>
              <w:snapToGrid w:val="0"/>
              <w:jc w:val="center"/>
              <w:rPr>
                <w:rFonts w:eastAsia="仿宋_GB2312"/>
                <w:sz w:val="24"/>
                <w:szCs w:val="24"/>
              </w:rPr>
            </w:pPr>
            <w:r>
              <w:rPr>
                <w:rFonts w:eastAsia="仿宋_GB2312"/>
                <w:sz w:val="24"/>
                <w:szCs w:val="24"/>
              </w:rPr>
              <w:t>3</w:t>
            </w:r>
          </w:p>
        </w:tc>
        <w:tc>
          <w:tcPr>
            <w:tcW w:w="2839" w:type="pct"/>
            <w:noWrap w:val="0"/>
            <w:tcMar>
              <w:left w:w="28" w:type="dxa"/>
              <w:right w:w="28" w:type="dxa"/>
            </w:tcMar>
            <w:vAlign w:val="center"/>
          </w:tcPr>
          <w:p>
            <w:pPr>
              <w:adjustRightInd w:val="0"/>
              <w:snapToGrid w:val="0"/>
              <w:spacing w:line="580" w:lineRule="exact"/>
              <w:jc w:val="left"/>
              <w:rPr>
                <w:rFonts w:eastAsia="仿宋_GB2312"/>
                <w:sz w:val="24"/>
                <w:szCs w:val="24"/>
              </w:rPr>
            </w:pPr>
            <w:r>
              <w:rPr>
                <w:rFonts w:eastAsia="仿宋_GB2312"/>
                <w:sz w:val="24"/>
                <w:szCs w:val="24"/>
              </w:rPr>
              <w:t>基本养老保险参保人数（万人）</w:t>
            </w:r>
          </w:p>
        </w:tc>
        <w:tc>
          <w:tcPr>
            <w:tcW w:w="536" w:type="pct"/>
            <w:noWrap w:val="0"/>
            <w:tcMar>
              <w:left w:w="28" w:type="dxa"/>
              <w:right w:w="28" w:type="dxa"/>
            </w:tcMar>
            <w:vAlign w:val="center"/>
          </w:tcPr>
          <w:p>
            <w:pPr>
              <w:adjustRightInd w:val="0"/>
              <w:snapToGrid w:val="0"/>
              <w:spacing w:line="580" w:lineRule="exact"/>
              <w:jc w:val="left"/>
              <w:rPr>
                <w:rFonts w:eastAsia="仿宋_GB2312"/>
                <w:sz w:val="24"/>
                <w:szCs w:val="24"/>
                <w:lang w:val="en"/>
              </w:rPr>
            </w:pPr>
            <w:r>
              <w:rPr>
                <w:rFonts w:eastAsia="仿宋_GB2312"/>
                <w:sz w:val="24"/>
                <w:szCs w:val="24"/>
              </w:rPr>
              <w:t>900.6</w:t>
            </w:r>
          </w:p>
        </w:tc>
        <w:tc>
          <w:tcPr>
            <w:tcW w:w="738" w:type="pct"/>
            <w:noWrap w:val="0"/>
            <w:tcMar>
              <w:left w:w="28" w:type="dxa"/>
              <w:right w:w="28" w:type="dxa"/>
            </w:tcMar>
            <w:vAlign w:val="center"/>
          </w:tcPr>
          <w:p>
            <w:pPr>
              <w:adjustRightInd w:val="0"/>
              <w:snapToGrid w:val="0"/>
              <w:spacing w:line="580" w:lineRule="exact"/>
              <w:jc w:val="left"/>
              <w:rPr>
                <w:rFonts w:eastAsia="仿宋_GB2312"/>
                <w:sz w:val="24"/>
                <w:szCs w:val="24"/>
              </w:rPr>
            </w:pPr>
            <w:r>
              <w:rPr>
                <w:rFonts w:eastAsia="仿宋_GB2312"/>
                <w:sz w:val="24"/>
                <w:szCs w:val="24"/>
              </w:rPr>
              <w:t>1010</w:t>
            </w:r>
          </w:p>
        </w:tc>
        <w:tc>
          <w:tcPr>
            <w:tcW w:w="546" w:type="pct"/>
            <w:tcBorders>
              <w:right w:val="single" w:color="auto" w:sz="4" w:space="0"/>
            </w:tcBorders>
            <w:noWrap w:val="0"/>
            <w:tcMar>
              <w:left w:w="28" w:type="dxa"/>
              <w:right w:w="28" w:type="dxa"/>
            </w:tcMar>
            <w:vAlign w:val="center"/>
          </w:tcPr>
          <w:p>
            <w:pPr>
              <w:adjustRightInd w:val="0"/>
              <w:snapToGrid w:val="0"/>
              <w:spacing w:line="580" w:lineRule="exact"/>
              <w:jc w:val="left"/>
              <w:rPr>
                <w:rFonts w:eastAsia="仿宋_GB2312"/>
                <w:sz w:val="24"/>
                <w:szCs w:val="24"/>
              </w:rPr>
            </w:pPr>
            <w:r>
              <w:rPr>
                <w:rFonts w:eastAsia="仿宋_GB2312"/>
                <w:sz w:val="24"/>
                <w:szCs w:val="24"/>
              </w:rPr>
              <w:t>预期性</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340" w:type="pct"/>
            <w:tcBorders>
              <w:left w:val="single" w:color="auto" w:sz="4" w:space="0"/>
            </w:tcBorders>
            <w:noWrap w:val="0"/>
            <w:tcMar>
              <w:left w:w="28" w:type="dxa"/>
              <w:right w:w="28" w:type="dxa"/>
            </w:tcMar>
            <w:vAlign w:val="center"/>
          </w:tcPr>
          <w:p>
            <w:pPr>
              <w:adjustRightInd w:val="0"/>
              <w:snapToGrid w:val="0"/>
              <w:spacing w:line="580" w:lineRule="exact"/>
              <w:jc w:val="center"/>
              <w:rPr>
                <w:rFonts w:eastAsia="仿宋_GB2312"/>
                <w:sz w:val="24"/>
                <w:szCs w:val="24"/>
              </w:rPr>
            </w:pPr>
            <w:r>
              <w:rPr>
                <w:rFonts w:eastAsia="仿宋_GB2312"/>
                <w:sz w:val="24"/>
                <w:szCs w:val="24"/>
              </w:rPr>
              <w:t>4</w:t>
            </w:r>
          </w:p>
        </w:tc>
        <w:tc>
          <w:tcPr>
            <w:tcW w:w="2839" w:type="pct"/>
            <w:noWrap w:val="0"/>
            <w:tcMar>
              <w:left w:w="28" w:type="dxa"/>
              <w:right w:w="28" w:type="dxa"/>
            </w:tcMar>
            <w:vAlign w:val="center"/>
          </w:tcPr>
          <w:p>
            <w:pPr>
              <w:adjustRightInd w:val="0"/>
              <w:snapToGrid w:val="0"/>
              <w:spacing w:line="580" w:lineRule="exact"/>
              <w:jc w:val="left"/>
              <w:rPr>
                <w:rFonts w:eastAsia="仿宋_GB2312"/>
                <w:sz w:val="24"/>
                <w:szCs w:val="24"/>
              </w:rPr>
            </w:pPr>
            <w:r>
              <w:rPr>
                <w:rFonts w:eastAsia="仿宋_GB2312"/>
                <w:sz w:val="24"/>
                <w:szCs w:val="24"/>
              </w:rPr>
              <w:t>城镇调查失业率（%）</w:t>
            </w:r>
          </w:p>
        </w:tc>
        <w:tc>
          <w:tcPr>
            <w:tcW w:w="536" w:type="pct"/>
            <w:noWrap w:val="0"/>
            <w:tcMar>
              <w:left w:w="28" w:type="dxa"/>
              <w:right w:w="28" w:type="dxa"/>
            </w:tcMar>
            <w:vAlign w:val="center"/>
          </w:tcPr>
          <w:p>
            <w:pPr>
              <w:adjustRightInd w:val="0"/>
              <w:snapToGrid w:val="0"/>
              <w:spacing w:line="580" w:lineRule="exact"/>
              <w:jc w:val="left"/>
              <w:rPr>
                <w:rFonts w:eastAsia="仿宋_GB2312"/>
                <w:sz w:val="24"/>
                <w:szCs w:val="24"/>
                <w:lang w:val="en"/>
              </w:rPr>
            </w:pPr>
            <w:r>
              <w:rPr>
                <w:rFonts w:eastAsia="仿宋_GB2312"/>
                <w:sz w:val="24"/>
                <w:szCs w:val="24"/>
              </w:rPr>
              <w:t>5.5</w:t>
            </w:r>
            <w:r>
              <w:rPr>
                <w:rFonts w:eastAsia="仿宋_GB2312"/>
                <w:sz w:val="24"/>
                <w:szCs w:val="24"/>
                <w:lang w:val="en"/>
              </w:rPr>
              <w:t>5</w:t>
            </w:r>
          </w:p>
        </w:tc>
        <w:tc>
          <w:tcPr>
            <w:tcW w:w="738" w:type="pct"/>
            <w:noWrap w:val="0"/>
            <w:tcMar>
              <w:left w:w="28" w:type="dxa"/>
              <w:right w:w="28" w:type="dxa"/>
            </w:tcMar>
            <w:vAlign w:val="center"/>
          </w:tcPr>
          <w:p>
            <w:pPr>
              <w:adjustRightInd w:val="0"/>
              <w:snapToGrid w:val="0"/>
              <w:spacing w:line="580" w:lineRule="exact"/>
              <w:jc w:val="left"/>
              <w:rPr>
                <w:rFonts w:eastAsia="仿宋_GB2312"/>
                <w:sz w:val="24"/>
                <w:szCs w:val="24"/>
              </w:rPr>
            </w:pPr>
            <w:r>
              <w:rPr>
                <w:rFonts w:eastAsia="仿宋_GB2312"/>
                <w:sz w:val="24"/>
                <w:szCs w:val="24"/>
              </w:rPr>
              <w:t>&lt;5.5</w:t>
            </w:r>
          </w:p>
        </w:tc>
        <w:tc>
          <w:tcPr>
            <w:tcW w:w="546" w:type="pct"/>
            <w:tcBorders>
              <w:right w:val="single" w:color="auto" w:sz="4" w:space="0"/>
            </w:tcBorders>
            <w:noWrap w:val="0"/>
            <w:tcMar>
              <w:left w:w="28" w:type="dxa"/>
              <w:right w:w="28" w:type="dxa"/>
            </w:tcMar>
            <w:vAlign w:val="center"/>
          </w:tcPr>
          <w:p>
            <w:pPr>
              <w:adjustRightInd w:val="0"/>
              <w:snapToGrid w:val="0"/>
              <w:spacing w:line="580" w:lineRule="exact"/>
              <w:jc w:val="left"/>
              <w:rPr>
                <w:rFonts w:eastAsia="仿宋_GB2312"/>
                <w:sz w:val="24"/>
                <w:szCs w:val="24"/>
              </w:rPr>
            </w:pPr>
            <w:r>
              <w:rPr>
                <w:rFonts w:eastAsia="仿宋_GB2312"/>
                <w:sz w:val="24"/>
                <w:szCs w:val="24"/>
              </w:rPr>
              <w:t>预期性</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43" w:hRule="atLeast"/>
        </w:trPr>
        <w:tc>
          <w:tcPr>
            <w:tcW w:w="340" w:type="pct"/>
            <w:tcBorders>
              <w:left w:val="single" w:color="auto" w:sz="4" w:space="0"/>
            </w:tcBorders>
            <w:noWrap w:val="0"/>
            <w:tcMar>
              <w:left w:w="28" w:type="dxa"/>
              <w:right w:w="28" w:type="dxa"/>
            </w:tcMar>
            <w:vAlign w:val="center"/>
          </w:tcPr>
          <w:p>
            <w:pPr>
              <w:adjustRightInd w:val="0"/>
              <w:snapToGrid w:val="0"/>
              <w:spacing w:line="580" w:lineRule="exact"/>
              <w:jc w:val="center"/>
              <w:rPr>
                <w:rFonts w:eastAsia="仿宋_GB2312"/>
                <w:sz w:val="24"/>
                <w:szCs w:val="24"/>
              </w:rPr>
            </w:pPr>
            <w:r>
              <w:rPr>
                <w:rFonts w:eastAsia="仿宋_GB2312"/>
                <w:sz w:val="24"/>
                <w:szCs w:val="24"/>
              </w:rPr>
              <w:t>5</w:t>
            </w:r>
          </w:p>
        </w:tc>
        <w:tc>
          <w:tcPr>
            <w:tcW w:w="2839" w:type="pct"/>
            <w:noWrap w:val="0"/>
            <w:tcMar>
              <w:left w:w="28" w:type="dxa"/>
              <w:right w:w="28" w:type="dxa"/>
            </w:tcMar>
            <w:vAlign w:val="center"/>
          </w:tcPr>
          <w:p>
            <w:pPr>
              <w:adjustRightInd w:val="0"/>
              <w:snapToGrid w:val="0"/>
              <w:rPr>
                <w:rFonts w:eastAsia="仿宋_GB2312"/>
                <w:sz w:val="24"/>
                <w:szCs w:val="24"/>
              </w:rPr>
            </w:pPr>
            <w:r>
              <w:rPr>
                <w:rFonts w:eastAsia="仿宋_GB2312"/>
                <w:sz w:val="24"/>
                <w:szCs w:val="24"/>
              </w:rPr>
              <w:t>城镇新增就业（万人）</w:t>
            </w:r>
            <w:r>
              <w:rPr>
                <w:rFonts w:eastAsia="仿宋_GB2312"/>
                <w:sz w:val="24"/>
                <w:szCs w:val="24"/>
              </w:rPr>
              <w:tab/>
            </w:r>
          </w:p>
        </w:tc>
        <w:tc>
          <w:tcPr>
            <w:tcW w:w="536" w:type="pct"/>
            <w:noWrap w:val="0"/>
            <w:tcMar>
              <w:left w:w="28" w:type="dxa"/>
              <w:right w:w="28" w:type="dxa"/>
            </w:tcMar>
            <w:vAlign w:val="center"/>
          </w:tcPr>
          <w:p>
            <w:pPr>
              <w:adjustRightInd w:val="0"/>
              <w:snapToGrid w:val="0"/>
              <w:jc w:val="left"/>
              <w:rPr>
                <w:rFonts w:eastAsia="仿宋_GB2312"/>
                <w:sz w:val="24"/>
                <w:szCs w:val="24"/>
                <w:lang w:val="en"/>
              </w:rPr>
            </w:pPr>
            <w:r>
              <w:rPr>
                <w:rFonts w:eastAsia="仿宋_GB2312"/>
                <w:sz w:val="24"/>
                <w:szCs w:val="24"/>
              </w:rPr>
              <w:t>37.1</w:t>
            </w:r>
          </w:p>
        </w:tc>
        <w:tc>
          <w:tcPr>
            <w:tcW w:w="738" w:type="pct"/>
            <w:noWrap w:val="0"/>
            <w:tcMar>
              <w:left w:w="28" w:type="dxa"/>
              <w:right w:w="28" w:type="dxa"/>
            </w:tcMar>
            <w:vAlign w:val="center"/>
          </w:tcPr>
          <w:p>
            <w:pPr>
              <w:adjustRightInd w:val="0"/>
              <w:snapToGrid w:val="0"/>
              <w:rPr>
                <w:rFonts w:eastAsia="仿宋_GB2312"/>
                <w:sz w:val="24"/>
                <w:szCs w:val="24"/>
              </w:rPr>
            </w:pPr>
            <w:r>
              <w:rPr>
                <w:rFonts w:eastAsia="方正隶书_GBK"/>
                <w:sz w:val="24"/>
                <w:szCs w:val="24"/>
              </w:rPr>
              <w:t>〔</w:t>
            </w:r>
            <w:r>
              <w:rPr>
                <w:rFonts w:eastAsia="仿宋_GB2312"/>
                <w:sz w:val="24"/>
                <w:szCs w:val="24"/>
              </w:rPr>
              <w:t>175</w:t>
            </w:r>
            <w:r>
              <w:rPr>
                <w:rFonts w:eastAsia="方正隶书_GBK"/>
                <w:sz w:val="24"/>
                <w:szCs w:val="24"/>
              </w:rPr>
              <w:t>〕</w:t>
            </w:r>
          </w:p>
        </w:tc>
        <w:tc>
          <w:tcPr>
            <w:tcW w:w="546" w:type="pct"/>
            <w:tcBorders>
              <w:right w:val="single" w:color="auto" w:sz="4" w:space="0"/>
            </w:tcBorders>
            <w:noWrap w:val="0"/>
            <w:tcMar>
              <w:left w:w="28" w:type="dxa"/>
              <w:right w:w="28" w:type="dxa"/>
            </w:tcMar>
            <w:vAlign w:val="center"/>
          </w:tcPr>
          <w:p>
            <w:pPr>
              <w:adjustRightInd w:val="0"/>
              <w:snapToGrid w:val="0"/>
              <w:spacing w:line="580" w:lineRule="exact"/>
              <w:jc w:val="left"/>
              <w:rPr>
                <w:rFonts w:eastAsia="仿宋_GB2312"/>
                <w:sz w:val="24"/>
                <w:szCs w:val="24"/>
              </w:rPr>
            </w:pPr>
            <w:r>
              <w:rPr>
                <w:rFonts w:eastAsia="仿宋_GB2312"/>
                <w:sz w:val="24"/>
                <w:szCs w:val="24"/>
              </w:rPr>
              <w:t>预期性</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340" w:type="pct"/>
            <w:tcBorders>
              <w:left w:val="single" w:color="auto" w:sz="4" w:space="0"/>
            </w:tcBorders>
            <w:noWrap w:val="0"/>
            <w:tcMar>
              <w:left w:w="28" w:type="dxa"/>
              <w:right w:w="28" w:type="dxa"/>
            </w:tcMar>
            <w:vAlign w:val="center"/>
          </w:tcPr>
          <w:p>
            <w:pPr>
              <w:adjustRightInd w:val="0"/>
              <w:snapToGrid w:val="0"/>
              <w:spacing w:line="580" w:lineRule="exact"/>
              <w:jc w:val="center"/>
              <w:rPr>
                <w:rFonts w:eastAsia="仿宋_GB2312"/>
                <w:sz w:val="24"/>
                <w:szCs w:val="24"/>
              </w:rPr>
            </w:pPr>
            <w:r>
              <w:rPr>
                <w:rFonts w:eastAsia="仿宋_GB2312"/>
                <w:sz w:val="24"/>
                <w:szCs w:val="24"/>
              </w:rPr>
              <w:t>6</w:t>
            </w:r>
          </w:p>
        </w:tc>
        <w:tc>
          <w:tcPr>
            <w:tcW w:w="2839" w:type="pct"/>
            <w:noWrap w:val="0"/>
            <w:tcMar>
              <w:left w:w="28" w:type="dxa"/>
              <w:right w:w="28" w:type="dxa"/>
            </w:tcMar>
            <w:vAlign w:val="center"/>
          </w:tcPr>
          <w:p>
            <w:pPr>
              <w:adjustRightInd w:val="0"/>
              <w:snapToGrid w:val="0"/>
              <w:spacing w:line="580" w:lineRule="exact"/>
              <w:jc w:val="left"/>
              <w:rPr>
                <w:rFonts w:eastAsia="仿宋_GB2312"/>
                <w:sz w:val="24"/>
                <w:szCs w:val="24"/>
              </w:rPr>
            </w:pPr>
            <w:r>
              <w:rPr>
                <w:rFonts w:eastAsia="仿宋_GB2312"/>
                <w:sz w:val="24"/>
                <w:szCs w:val="24"/>
              </w:rPr>
              <w:t>单位建设用地的地区生产总值（亿元/平方公里）</w:t>
            </w:r>
          </w:p>
        </w:tc>
        <w:tc>
          <w:tcPr>
            <w:tcW w:w="536" w:type="pct"/>
            <w:noWrap w:val="0"/>
            <w:tcMar>
              <w:left w:w="28" w:type="dxa"/>
              <w:right w:w="28" w:type="dxa"/>
            </w:tcMar>
            <w:vAlign w:val="center"/>
          </w:tcPr>
          <w:p>
            <w:pPr>
              <w:adjustRightInd w:val="0"/>
              <w:snapToGrid w:val="0"/>
              <w:spacing w:line="580" w:lineRule="exact"/>
              <w:jc w:val="left"/>
              <w:rPr>
                <w:rFonts w:eastAsia="仿宋_GB2312"/>
                <w:sz w:val="24"/>
                <w:szCs w:val="24"/>
              </w:rPr>
            </w:pPr>
            <w:r>
              <w:rPr>
                <w:rFonts w:eastAsia="仿宋_GB2312"/>
                <w:sz w:val="24"/>
                <w:szCs w:val="24"/>
              </w:rPr>
              <w:t>4.05</w:t>
            </w:r>
          </w:p>
        </w:tc>
        <w:tc>
          <w:tcPr>
            <w:tcW w:w="738" w:type="pct"/>
            <w:noWrap w:val="0"/>
            <w:tcMar>
              <w:left w:w="28" w:type="dxa"/>
              <w:right w:w="28" w:type="dxa"/>
            </w:tcMar>
            <w:vAlign w:val="center"/>
          </w:tcPr>
          <w:p>
            <w:pPr>
              <w:adjustRightInd w:val="0"/>
              <w:snapToGrid w:val="0"/>
              <w:spacing w:line="580" w:lineRule="exact"/>
              <w:jc w:val="left"/>
              <w:rPr>
                <w:rFonts w:eastAsia="仿宋_GB2312"/>
                <w:sz w:val="24"/>
                <w:szCs w:val="24"/>
              </w:rPr>
            </w:pPr>
            <w:r>
              <w:rPr>
                <w:rFonts w:eastAsia="仿宋_GB2312"/>
                <w:sz w:val="24"/>
                <w:szCs w:val="24"/>
              </w:rPr>
              <w:t>5.12</w:t>
            </w:r>
          </w:p>
        </w:tc>
        <w:tc>
          <w:tcPr>
            <w:tcW w:w="546" w:type="pct"/>
            <w:tcBorders>
              <w:right w:val="single" w:color="auto" w:sz="4" w:space="0"/>
            </w:tcBorders>
            <w:noWrap w:val="0"/>
            <w:tcMar>
              <w:left w:w="28" w:type="dxa"/>
              <w:right w:w="28" w:type="dxa"/>
            </w:tcMar>
            <w:vAlign w:val="center"/>
          </w:tcPr>
          <w:p>
            <w:pPr>
              <w:adjustRightInd w:val="0"/>
              <w:snapToGrid w:val="0"/>
              <w:spacing w:line="580" w:lineRule="exact"/>
              <w:jc w:val="left"/>
              <w:rPr>
                <w:rFonts w:eastAsia="仿宋_GB2312"/>
                <w:sz w:val="24"/>
                <w:szCs w:val="24"/>
              </w:rPr>
            </w:pPr>
            <w:r>
              <w:rPr>
                <w:rFonts w:eastAsia="仿宋_GB2312"/>
                <w:sz w:val="24"/>
                <w:szCs w:val="24"/>
              </w:rPr>
              <w:t>预期性</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340" w:type="pct"/>
            <w:tcBorders>
              <w:left w:val="single" w:color="auto" w:sz="4" w:space="0"/>
            </w:tcBorders>
            <w:noWrap w:val="0"/>
            <w:tcMar>
              <w:left w:w="28" w:type="dxa"/>
              <w:right w:w="28" w:type="dxa"/>
            </w:tcMar>
            <w:vAlign w:val="center"/>
          </w:tcPr>
          <w:p>
            <w:pPr>
              <w:adjustRightInd w:val="0"/>
              <w:snapToGrid w:val="0"/>
              <w:spacing w:line="580" w:lineRule="exact"/>
              <w:jc w:val="center"/>
              <w:rPr>
                <w:rFonts w:eastAsia="仿宋_GB2312"/>
                <w:sz w:val="24"/>
                <w:szCs w:val="24"/>
              </w:rPr>
            </w:pPr>
            <w:r>
              <w:rPr>
                <w:rFonts w:eastAsia="仿宋_GB2312"/>
                <w:sz w:val="24"/>
                <w:szCs w:val="24"/>
              </w:rPr>
              <w:t>7</w:t>
            </w:r>
          </w:p>
        </w:tc>
        <w:tc>
          <w:tcPr>
            <w:tcW w:w="2839" w:type="pct"/>
            <w:noWrap w:val="0"/>
            <w:tcMar>
              <w:left w:w="28" w:type="dxa"/>
              <w:right w:w="28" w:type="dxa"/>
            </w:tcMar>
            <w:vAlign w:val="center"/>
          </w:tcPr>
          <w:p>
            <w:pPr>
              <w:adjustRightInd w:val="0"/>
              <w:snapToGrid w:val="0"/>
              <w:spacing w:line="580" w:lineRule="exact"/>
              <w:jc w:val="left"/>
              <w:rPr>
                <w:rFonts w:eastAsia="仿宋_GB2312"/>
                <w:sz w:val="24"/>
                <w:szCs w:val="24"/>
              </w:rPr>
            </w:pPr>
            <w:r>
              <w:rPr>
                <w:rFonts w:eastAsia="仿宋_GB2312"/>
                <w:sz w:val="24"/>
                <w:szCs w:val="24"/>
              </w:rPr>
              <w:t>每千常住人口拥有执业（助理）医师数（人）</w:t>
            </w:r>
          </w:p>
        </w:tc>
        <w:tc>
          <w:tcPr>
            <w:tcW w:w="536" w:type="pct"/>
            <w:noWrap w:val="0"/>
            <w:tcMar>
              <w:left w:w="28" w:type="dxa"/>
              <w:right w:w="28" w:type="dxa"/>
            </w:tcMar>
            <w:vAlign w:val="center"/>
          </w:tcPr>
          <w:p>
            <w:pPr>
              <w:adjustRightInd w:val="0"/>
              <w:snapToGrid w:val="0"/>
              <w:spacing w:line="580" w:lineRule="exact"/>
              <w:jc w:val="left"/>
              <w:rPr>
                <w:rFonts w:eastAsia="仿宋_GB2312"/>
                <w:sz w:val="24"/>
                <w:szCs w:val="24"/>
              </w:rPr>
            </w:pPr>
            <w:r>
              <w:rPr>
                <w:rFonts w:eastAsia="仿宋_GB2312"/>
                <w:sz w:val="24"/>
                <w:szCs w:val="24"/>
              </w:rPr>
              <w:t>3.14</w:t>
            </w:r>
          </w:p>
        </w:tc>
        <w:tc>
          <w:tcPr>
            <w:tcW w:w="738" w:type="pct"/>
            <w:noWrap w:val="0"/>
            <w:tcMar>
              <w:left w:w="28" w:type="dxa"/>
              <w:right w:w="28" w:type="dxa"/>
            </w:tcMar>
            <w:vAlign w:val="center"/>
          </w:tcPr>
          <w:p>
            <w:pPr>
              <w:adjustRightInd w:val="0"/>
              <w:snapToGrid w:val="0"/>
              <w:spacing w:line="580" w:lineRule="exact"/>
              <w:jc w:val="left"/>
              <w:rPr>
                <w:rFonts w:eastAsia="仿宋_GB2312"/>
                <w:sz w:val="24"/>
                <w:szCs w:val="24"/>
              </w:rPr>
            </w:pPr>
            <w:r>
              <w:rPr>
                <w:rFonts w:eastAsia="仿宋_GB2312"/>
                <w:sz w:val="24"/>
                <w:szCs w:val="24"/>
              </w:rPr>
              <w:t>3.5</w:t>
            </w:r>
          </w:p>
        </w:tc>
        <w:tc>
          <w:tcPr>
            <w:tcW w:w="546" w:type="pct"/>
            <w:tcBorders>
              <w:right w:val="single" w:color="auto" w:sz="4" w:space="0"/>
            </w:tcBorders>
            <w:noWrap w:val="0"/>
            <w:tcMar>
              <w:left w:w="28" w:type="dxa"/>
              <w:right w:w="28" w:type="dxa"/>
            </w:tcMar>
            <w:vAlign w:val="center"/>
          </w:tcPr>
          <w:p>
            <w:pPr>
              <w:adjustRightInd w:val="0"/>
              <w:snapToGrid w:val="0"/>
              <w:spacing w:line="580" w:lineRule="exact"/>
              <w:jc w:val="left"/>
              <w:rPr>
                <w:rFonts w:eastAsia="仿宋_GB2312"/>
                <w:sz w:val="24"/>
                <w:szCs w:val="24"/>
              </w:rPr>
            </w:pPr>
            <w:r>
              <w:rPr>
                <w:rFonts w:eastAsia="仿宋_GB2312"/>
                <w:sz w:val="24"/>
                <w:szCs w:val="24"/>
              </w:rPr>
              <w:t>预期性</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77" w:hRule="atLeast"/>
        </w:trPr>
        <w:tc>
          <w:tcPr>
            <w:tcW w:w="340" w:type="pct"/>
            <w:tcBorders>
              <w:left w:val="single" w:color="auto" w:sz="4" w:space="0"/>
            </w:tcBorders>
            <w:noWrap w:val="0"/>
            <w:tcMar>
              <w:left w:w="28" w:type="dxa"/>
              <w:right w:w="28" w:type="dxa"/>
            </w:tcMar>
            <w:vAlign w:val="center"/>
          </w:tcPr>
          <w:p>
            <w:pPr>
              <w:adjustRightInd w:val="0"/>
              <w:snapToGrid w:val="0"/>
              <w:spacing w:line="580" w:lineRule="exact"/>
              <w:jc w:val="center"/>
              <w:rPr>
                <w:rFonts w:eastAsia="仿宋_GB2312"/>
                <w:sz w:val="24"/>
                <w:szCs w:val="24"/>
              </w:rPr>
            </w:pPr>
            <w:r>
              <w:rPr>
                <w:rFonts w:eastAsia="仿宋_GB2312"/>
                <w:sz w:val="24"/>
                <w:szCs w:val="24"/>
              </w:rPr>
              <w:t>8</w:t>
            </w:r>
          </w:p>
        </w:tc>
        <w:tc>
          <w:tcPr>
            <w:tcW w:w="2839" w:type="pct"/>
            <w:noWrap w:val="0"/>
            <w:tcMar>
              <w:left w:w="28" w:type="dxa"/>
              <w:right w:w="28" w:type="dxa"/>
            </w:tcMar>
            <w:vAlign w:val="center"/>
          </w:tcPr>
          <w:p>
            <w:pPr>
              <w:adjustRightInd w:val="0"/>
              <w:snapToGrid w:val="0"/>
              <w:spacing w:line="580" w:lineRule="exact"/>
              <w:jc w:val="left"/>
              <w:rPr>
                <w:rFonts w:eastAsia="仿宋_GB2312"/>
                <w:sz w:val="24"/>
                <w:szCs w:val="24"/>
              </w:rPr>
            </w:pPr>
            <w:r>
              <w:rPr>
                <w:rFonts w:eastAsia="仿宋_GB2312"/>
                <w:sz w:val="24"/>
                <w:szCs w:val="24"/>
              </w:rPr>
              <w:t>城市公园绿地服务半径覆盖率（%）</w:t>
            </w:r>
          </w:p>
        </w:tc>
        <w:tc>
          <w:tcPr>
            <w:tcW w:w="536" w:type="pct"/>
            <w:noWrap w:val="0"/>
            <w:tcMar>
              <w:left w:w="28" w:type="dxa"/>
              <w:right w:w="28" w:type="dxa"/>
            </w:tcMar>
            <w:vAlign w:val="center"/>
          </w:tcPr>
          <w:p>
            <w:pPr>
              <w:adjustRightInd w:val="0"/>
              <w:snapToGrid w:val="0"/>
              <w:spacing w:line="580" w:lineRule="exact"/>
              <w:jc w:val="left"/>
              <w:rPr>
                <w:rFonts w:eastAsia="仿宋_GB2312"/>
                <w:sz w:val="24"/>
                <w:szCs w:val="24"/>
                <w:lang w:val="en"/>
              </w:rPr>
            </w:pPr>
            <w:r>
              <w:rPr>
                <w:rFonts w:eastAsia="仿宋_GB2312"/>
                <w:sz w:val="24"/>
                <w:szCs w:val="24"/>
              </w:rPr>
              <w:t>77</w:t>
            </w:r>
          </w:p>
        </w:tc>
        <w:tc>
          <w:tcPr>
            <w:tcW w:w="738" w:type="pct"/>
            <w:noWrap w:val="0"/>
            <w:tcMar>
              <w:left w:w="28" w:type="dxa"/>
              <w:right w:w="28" w:type="dxa"/>
            </w:tcMar>
            <w:vAlign w:val="center"/>
          </w:tcPr>
          <w:p>
            <w:pPr>
              <w:adjustRightInd w:val="0"/>
              <w:snapToGrid w:val="0"/>
              <w:spacing w:line="580" w:lineRule="exact"/>
              <w:jc w:val="left"/>
              <w:rPr>
                <w:rFonts w:eastAsia="仿宋_GB2312"/>
                <w:sz w:val="24"/>
                <w:szCs w:val="24"/>
                <w:lang w:val="en"/>
              </w:rPr>
            </w:pPr>
            <w:r>
              <w:rPr>
                <w:rFonts w:eastAsia="仿宋_GB2312"/>
                <w:sz w:val="24"/>
                <w:szCs w:val="24"/>
              </w:rPr>
              <w:t>80</w:t>
            </w:r>
          </w:p>
        </w:tc>
        <w:tc>
          <w:tcPr>
            <w:tcW w:w="546" w:type="pct"/>
            <w:tcBorders>
              <w:right w:val="single" w:color="auto" w:sz="4" w:space="0"/>
            </w:tcBorders>
            <w:noWrap w:val="0"/>
            <w:tcMar>
              <w:left w:w="28" w:type="dxa"/>
              <w:right w:w="28" w:type="dxa"/>
            </w:tcMar>
            <w:vAlign w:val="center"/>
          </w:tcPr>
          <w:p>
            <w:pPr>
              <w:adjustRightInd w:val="0"/>
              <w:snapToGrid w:val="0"/>
              <w:spacing w:line="580" w:lineRule="exact"/>
              <w:jc w:val="left"/>
              <w:rPr>
                <w:rFonts w:eastAsia="仿宋_GB2312"/>
                <w:sz w:val="24"/>
                <w:szCs w:val="24"/>
              </w:rPr>
            </w:pPr>
            <w:r>
              <w:rPr>
                <w:rFonts w:eastAsia="仿宋_GB2312"/>
                <w:sz w:val="24"/>
                <w:szCs w:val="24"/>
              </w:rPr>
              <w:t>预期性</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61" w:hRule="atLeast"/>
        </w:trPr>
        <w:tc>
          <w:tcPr>
            <w:tcW w:w="340" w:type="pct"/>
            <w:tcBorders>
              <w:left w:val="single" w:color="auto" w:sz="4" w:space="0"/>
            </w:tcBorders>
            <w:noWrap w:val="0"/>
            <w:tcMar>
              <w:left w:w="28" w:type="dxa"/>
              <w:right w:w="28" w:type="dxa"/>
            </w:tcMar>
            <w:vAlign w:val="center"/>
          </w:tcPr>
          <w:p>
            <w:pPr>
              <w:adjustRightInd w:val="0"/>
              <w:snapToGrid w:val="0"/>
              <w:spacing w:line="580" w:lineRule="exact"/>
              <w:jc w:val="center"/>
              <w:rPr>
                <w:rFonts w:eastAsia="仿宋_GB2312"/>
                <w:sz w:val="24"/>
                <w:szCs w:val="24"/>
              </w:rPr>
            </w:pPr>
            <w:r>
              <w:rPr>
                <w:rFonts w:eastAsia="仿宋_GB2312"/>
                <w:sz w:val="24"/>
                <w:szCs w:val="24"/>
              </w:rPr>
              <w:t>9</w:t>
            </w:r>
          </w:p>
        </w:tc>
        <w:tc>
          <w:tcPr>
            <w:tcW w:w="2839" w:type="pct"/>
            <w:noWrap w:val="0"/>
            <w:tcMar>
              <w:left w:w="28" w:type="dxa"/>
              <w:right w:w="28" w:type="dxa"/>
            </w:tcMar>
            <w:vAlign w:val="center"/>
          </w:tcPr>
          <w:p>
            <w:pPr>
              <w:adjustRightInd w:val="0"/>
              <w:snapToGrid w:val="0"/>
              <w:spacing w:line="580" w:lineRule="exact"/>
              <w:jc w:val="left"/>
              <w:rPr>
                <w:rFonts w:eastAsia="仿宋_GB2312"/>
                <w:sz w:val="24"/>
                <w:szCs w:val="24"/>
              </w:rPr>
            </w:pPr>
            <w:r>
              <w:rPr>
                <w:rFonts w:eastAsia="仿宋_GB2312"/>
                <w:sz w:val="24"/>
                <w:szCs w:val="24"/>
              </w:rPr>
              <w:t>城市空气质量优良天数比率（%）</w:t>
            </w:r>
          </w:p>
        </w:tc>
        <w:tc>
          <w:tcPr>
            <w:tcW w:w="536" w:type="pct"/>
            <w:noWrap w:val="0"/>
            <w:tcMar>
              <w:left w:w="28" w:type="dxa"/>
              <w:right w:w="28" w:type="dxa"/>
            </w:tcMar>
            <w:vAlign w:val="center"/>
          </w:tcPr>
          <w:p>
            <w:pPr>
              <w:adjustRightInd w:val="0"/>
              <w:snapToGrid w:val="0"/>
              <w:spacing w:line="580" w:lineRule="exact"/>
              <w:jc w:val="left"/>
              <w:rPr>
                <w:rFonts w:eastAsia="仿宋_GB2312"/>
                <w:sz w:val="24"/>
                <w:szCs w:val="24"/>
              </w:rPr>
            </w:pPr>
            <w:r>
              <w:rPr>
                <w:rFonts w:eastAsia="仿宋_GB2312"/>
                <w:sz w:val="24"/>
                <w:szCs w:val="24"/>
              </w:rPr>
              <w:t>66.9</w:t>
            </w:r>
          </w:p>
        </w:tc>
        <w:tc>
          <w:tcPr>
            <w:tcW w:w="738" w:type="pct"/>
            <w:noWrap w:val="0"/>
            <w:tcMar>
              <w:left w:w="28" w:type="dxa"/>
              <w:right w:w="28" w:type="dxa"/>
            </w:tcMar>
            <w:vAlign w:val="center"/>
          </w:tcPr>
          <w:p>
            <w:pPr>
              <w:adjustRightInd w:val="0"/>
              <w:snapToGrid w:val="0"/>
              <w:spacing w:line="580" w:lineRule="exact"/>
              <w:jc w:val="left"/>
              <w:rPr>
                <w:rFonts w:eastAsia="仿宋_GB2312"/>
                <w:sz w:val="24"/>
                <w:szCs w:val="24"/>
              </w:rPr>
            </w:pPr>
            <w:r>
              <w:rPr>
                <w:rFonts w:eastAsia="仿宋_GB2312"/>
                <w:sz w:val="24"/>
                <w:szCs w:val="24"/>
              </w:rPr>
              <w:t>68</w:t>
            </w:r>
          </w:p>
        </w:tc>
        <w:tc>
          <w:tcPr>
            <w:tcW w:w="546" w:type="pct"/>
            <w:tcBorders>
              <w:right w:val="single" w:color="auto" w:sz="4" w:space="0"/>
            </w:tcBorders>
            <w:noWrap w:val="0"/>
            <w:tcMar>
              <w:left w:w="28" w:type="dxa"/>
              <w:right w:w="28" w:type="dxa"/>
            </w:tcMar>
            <w:vAlign w:val="center"/>
          </w:tcPr>
          <w:p>
            <w:pPr>
              <w:adjustRightInd w:val="0"/>
              <w:snapToGrid w:val="0"/>
              <w:spacing w:line="580" w:lineRule="exact"/>
              <w:jc w:val="left"/>
              <w:rPr>
                <w:rFonts w:eastAsia="仿宋_GB2312"/>
                <w:sz w:val="24"/>
                <w:szCs w:val="24"/>
              </w:rPr>
            </w:pPr>
            <w:r>
              <w:rPr>
                <w:rFonts w:eastAsia="仿宋_GB2312"/>
                <w:sz w:val="24"/>
                <w:szCs w:val="24"/>
              </w:rPr>
              <w:t>约束性</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13" w:hRule="atLeast"/>
        </w:trPr>
        <w:tc>
          <w:tcPr>
            <w:tcW w:w="340" w:type="pct"/>
            <w:tcBorders>
              <w:left w:val="single" w:color="auto" w:sz="4" w:space="0"/>
            </w:tcBorders>
            <w:noWrap w:val="0"/>
            <w:tcMar>
              <w:left w:w="28" w:type="dxa"/>
              <w:right w:w="28" w:type="dxa"/>
            </w:tcMar>
            <w:vAlign w:val="center"/>
          </w:tcPr>
          <w:p>
            <w:pPr>
              <w:adjustRightInd w:val="0"/>
              <w:snapToGrid w:val="0"/>
              <w:jc w:val="center"/>
              <w:rPr>
                <w:rFonts w:eastAsia="仿宋_GB2312"/>
                <w:sz w:val="24"/>
                <w:szCs w:val="24"/>
              </w:rPr>
            </w:pPr>
            <w:r>
              <w:rPr>
                <w:rFonts w:eastAsia="仿宋_GB2312"/>
                <w:sz w:val="24"/>
                <w:szCs w:val="24"/>
              </w:rPr>
              <w:t>10</w:t>
            </w:r>
          </w:p>
        </w:tc>
        <w:tc>
          <w:tcPr>
            <w:tcW w:w="2839" w:type="pct"/>
            <w:noWrap w:val="0"/>
            <w:tcMar>
              <w:left w:w="28" w:type="dxa"/>
              <w:right w:w="28" w:type="dxa"/>
            </w:tcMar>
            <w:vAlign w:val="center"/>
          </w:tcPr>
          <w:p>
            <w:pPr>
              <w:adjustRightInd w:val="0"/>
              <w:snapToGrid w:val="0"/>
              <w:rPr>
                <w:rFonts w:eastAsia="仿宋_GB2312"/>
                <w:sz w:val="24"/>
                <w:szCs w:val="24"/>
              </w:rPr>
            </w:pPr>
            <w:r>
              <w:rPr>
                <w:rFonts w:eastAsia="仿宋_GB2312"/>
                <w:sz w:val="24"/>
                <w:szCs w:val="24"/>
              </w:rPr>
              <w:t>单位地区生产总值能耗降低（%）</w:t>
            </w:r>
          </w:p>
        </w:tc>
        <w:tc>
          <w:tcPr>
            <w:tcW w:w="536" w:type="pct"/>
            <w:noWrap w:val="0"/>
            <w:tcMar>
              <w:left w:w="28" w:type="dxa"/>
              <w:right w:w="28" w:type="dxa"/>
            </w:tcMar>
            <w:vAlign w:val="center"/>
          </w:tcPr>
          <w:p>
            <w:pPr>
              <w:adjustRightInd w:val="0"/>
              <w:snapToGrid w:val="0"/>
              <w:spacing w:line="580" w:lineRule="exact"/>
              <w:jc w:val="left"/>
              <w:rPr>
                <w:rFonts w:eastAsia="仿宋_GB2312"/>
                <w:sz w:val="24"/>
                <w:szCs w:val="24"/>
              </w:rPr>
            </w:pPr>
            <w:r>
              <w:rPr>
                <w:rFonts w:eastAsia="方正隶书_GBK"/>
                <w:sz w:val="24"/>
                <w:szCs w:val="24"/>
              </w:rPr>
              <w:t>〔</w:t>
            </w:r>
            <w:r>
              <w:rPr>
                <w:rFonts w:eastAsia="仿宋_GB2312"/>
                <w:sz w:val="24"/>
                <w:szCs w:val="24"/>
              </w:rPr>
              <w:t>17</w:t>
            </w:r>
            <w:r>
              <w:rPr>
                <w:rFonts w:eastAsia="方正隶书_GBK"/>
                <w:sz w:val="24"/>
                <w:szCs w:val="24"/>
              </w:rPr>
              <w:t>〕</w:t>
            </w:r>
          </w:p>
        </w:tc>
        <w:tc>
          <w:tcPr>
            <w:tcW w:w="738" w:type="pct"/>
            <w:noWrap w:val="0"/>
            <w:tcMar>
              <w:left w:w="28" w:type="dxa"/>
              <w:right w:w="28" w:type="dxa"/>
            </w:tcMar>
            <w:vAlign w:val="center"/>
          </w:tcPr>
          <w:p>
            <w:pPr>
              <w:adjustRightInd w:val="0"/>
              <w:snapToGrid w:val="0"/>
              <w:spacing w:line="580" w:lineRule="exact"/>
              <w:jc w:val="left"/>
              <w:rPr>
                <w:rFonts w:eastAsia="仿宋_GB2312"/>
                <w:sz w:val="24"/>
                <w:szCs w:val="24"/>
              </w:rPr>
            </w:pPr>
            <w:r>
              <w:rPr>
                <w:rFonts w:eastAsia="方正隶书_GBK"/>
                <w:sz w:val="24"/>
                <w:szCs w:val="24"/>
              </w:rPr>
              <w:t>〔</w:t>
            </w:r>
            <w:r>
              <w:rPr>
                <w:rFonts w:eastAsia="仿宋_GB2312"/>
                <w:sz w:val="24"/>
                <w:szCs w:val="24"/>
              </w:rPr>
              <w:t>14.5</w:t>
            </w:r>
            <w:r>
              <w:rPr>
                <w:rFonts w:eastAsia="方正隶书_GBK"/>
                <w:sz w:val="24"/>
                <w:szCs w:val="24"/>
              </w:rPr>
              <w:t>〕</w:t>
            </w:r>
          </w:p>
        </w:tc>
        <w:tc>
          <w:tcPr>
            <w:tcW w:w="546" w:type="pct"/>
            <w:tcBorders>
              <w:right w:val="single" w:color="auto" w:sz="4" w:space="0"/>
            </w:tcBorders>
            <w:noWrap w:val="0"/>
            <w:tcMar>
              <w:left w:w="28" w:type="dxa"/>
              <w:right w:w="28" w:type="dxa"/>
            </w:tcMar>
            <w:vAlign w:val="center"/>
          </w:tcPr>
          <w:p>
            <w:pPr>
              <w:adjustRightInd w:val="0"/>
              <w:snapToGrid w:val="0"/>
              <w:spacing w:line="580" w:lineRule="exact"/>
              <w:jc w:val="left"/>
              <w:rPr>
                <w:rFonts w:eastAsia="仿宋_GB2312"/>
                <w:sz w:val="24"/>
                <w:szCs w:val="24"/>
              </w:rPr>
            </w:pPr>
            <w:r>
              <w:rPr>
                <w:rFonts w:eastAsia="仿宋_GB2312"/>
                <w:sz w:val="24"/>
                <w:szCs w:val="24"/>
              </w:rPr>
              <w:t>约束性</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340" w:type="pct"/>
            <w:tcBorders>
              <w:left w:val="single" w:color="auto" w:sz="4" w:space="0"/>
            </w:tcBorders>
            <w:noWrap w:val="0"/>
            <w:tcMar>
              <w:left w:w="28" w:type="dxa"/>
              <w:right w:w="28" w:type="dxa"/>
            </w:tcMar>
            <w:vAlign w:val="center"/>
          </w:tcPr>
          <w:p>
            <w:pPr>
              <w:adjustRightInd w:val="0"/>
              <w:snapToGrid w:val="0"/>
              <w:spacing w:line="580" w:lineRule="exact"/>
              <w:jc w:val="center"/>
              <w:rPr>
                <w:rFonts w:eastAsia="仿宋_GB2312"/>
                <w:sz w:val="24"/>
                <w:szCs w:val="24"/>
              </w:rPr>
            </w:pPr>
            <w:r>
              <w:rPr>
                <w:rFonts w:eastAsia="仿宋_GB2312"/>
                <w:sz w:val="24"/>
                <w:szCs w:val="24"/>
              </w:rPr>
              <w:t>11</w:t>
            </w:r>
          </w:p>
        </w:tc>
        <w:tc>
          <w:tcPr>
            <w:tcW w:w="2839" w:type="pct"/>
            <w:noWrap w:val="0"/>
            <w:tcMar>
              <w:left w:w="28" w:type="dxa"/>
              <w:right w:w="28" w:type="dxa"/>
            </w:tcMar>
            <w:vAlign w:val="center"/>
          </w:tcPr>
          <w:p>
            <w:pPr>
              <w:adjustRightInd w:val="0"/>
              <w:snapToGrid w:val="0"/>
              <w:spacing w:line="580" w:lineRule="exact"/>
              <w:jc w:val="left"/>
              <w:rPr>
                <w:rFonts w:eastAsia="仿宋_GB2312"/>
                <w:sz w:val="24"/>
                <w:szCs w:val="24"/>
              </w:rPr>
            </w:pPr>
            <w:r>
              <w:rPr>
                <w:rFonts w:eastAsia="仿宋_GB2312"/>
                <w:sz w:val="24"/>
                <w:szCs w:val="24"/>
              </w:rPr>
              <w:t>城镇生活垃圾无害化处理率（%）</w:t>
            </w:r>
          </w:p>
        </w:tc>
        <w:tc>
          <w:tcPr>
            <w:tcW w:w="536" w:type="pct"/>
            <w:noWrap w:val="0"/>
            <w:tcMar>
              <w:left w:w="28" w:type="dxa"/>
              <w:right w:w="28" w:type="dxa"/>
            </w:tcMar>
            <w:vAlign w:val="center"/>
          </w:tcPr>
          <w:p>
            <w:pPr>
              <w:adjustRightInd w:val="0"/>
              <w:snapToGrid w:val="0"/>
              <w:spacing w:line="580" w:lineRule="exact"/>
              <w:jc w:val="left"/>
              <w:rPr>
                <w:rFonts w:eastAsia="仿宋_GB2312"/>
                <w:sz w:val="24"/>
                <w:szCs w:val="24"/>
              </w:rPr>
            </w:pPr>
            <w:r>
              <w:rPr>
                <w:rFonts w:eastAsia="仿宋_GB2312"/>
                <w:sz w:val="24"/>
                <w:szCs w:val="24"/>
              </w:rPr>
              <w:t>100</w:t>
            </w:r>
          </w:p>
        </w:tc>
        <w:tc>
          <w:tcPr>
            <w:tcW w:w="738" w:type="pct"/>
            <w:noWrap w:val="0"/>
            <w:tcMar>
              <w:left w:w="28" w:type="dxa"/>
              <w:right w:w="28" w:type="dxa"/>
            </w:tcMar>
            <w:vAlign w:val="center"/>
          </w:tcPr>
          <w:p>
            <w:pPr>
              <w:adjustRightInd w:val="0"/>
              <w:snapToGrid w:val="0"/>
              <w:spacing w:line="580" w:lineRule="exact"/>
              <w:jc w:val="left"/>
              <w:rPr>
                <w:rFonts w:eastAsia="仿宋_GB2312"/>
                <w:sz w:val="24"/>
                <w:szCs w:val="24"/>
              </w:rPr>
            </w:pPr>
            <w:r>
              <w:rPr>
                <w:rFonts w:eastAsia="仿宋_GB2312"/>
                <w:sz w:val="24"/>
                <w:szCs w:val="24"/>
              </w:rPr>
              <w:t>100</w:t>
            </w:r>
          </w:p>
        </w:tc>
        <w:tc>
          <w:tcPr>
            <w:tcW w:w="546" w:type="pct"/>
            <w:tcBorders>
              <w:right w:val="single" w:color="auto" w:sz="4" w:space="0"/>
            </w:tcBorders>
            <w:noWrap w:val="0"/>
            <w:tcMar>
              <w:left w:w="28" w:type="dxa"/>
              <w:right w:w="28" w:type="dxa"/>
            </w:tcMar>
            <w:vAlign w:val="center"/>
          </w:tcPr>
          <w:p>
            <w:pPr>
              <w:adjustRightInd w:val="0"/>
              <w:snapToGrid w:val="0"/>
              <w:spacing w:line="580" w:lineRule="exact"/>
              <w:jc w:val="left"/>
              <w:rPr>
                <w:rFonts w:eastAsia="仿宋_GB2312"/>
                <w:sz w:val="24"/>
                <w:szCs w:val="24"/>
              </w:rPr>
            </w:pPr>
            <w:r>
              <w:rPr>
                <w:rFonts w:eastAsia="仿宋_GB2312"/>
                <w:sz w:val="24"/>
                <w:szCs w:val="24"/>
              </w:rPr>
              <w:t>约束性</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340" w:type="pct"/>
            <w:tcBorders>
              <w:left w:val="single" w:color="auto" w:sz="4" w:space="0"/>
            </w:tcBorders>
            <w:noWrap w:val="0"/>
            <w:tcMar>
              <w:left w:w="28" w:type="dxa"/>
              <w:right w:w="28" w:type="dxa"/>
            </w:tcMar>
            <w:vAlign w:val="center"/>
          </w:tcPr>
          <w:p>
            <w:pPr>
              <w:adjustRightInd w:val="0"/>
              <w:snapToGrid w:val="0"/>
              <w:spacing w:line="580" w:lineRule="exact"/>
              <w:jc w:val="center"/>
              <w:rPr>
                <w:rFonts w:eastAsia="仿宋_GB2312"/>
                <w:sz w:val="24"/>
                <w:szCs w:val="24"/>
              </w:rPr>
            </w:pPr>
            <w:r>
              <w:rPr>
                <w:rFonts w:eastAsia="仿宋_GB2312"/>
                <w:sz w:val="24"/>
                <w:szCs w:val="24"/>
              </w:rPr>
              <w:t>12</w:t>
            </w:r>
          </w:p>
        </w:tc>
        <w:tc>
          <w:tcPr>
            <w:tcW w:w="2839" w:type="pct"/>
            <w:noWrap w:val="0"/>
            <w:tcMar>
              <w:left w:w="28" w:type="dxa"/>
              <w:right w:w="28" w:type="dxa"/>
            </w:tcMar>
            <w:vAlign w:val="center"/>
          </w:tcPr>
          <w:p>
            <w:pPr>
              <w:adjustRightInd w:val="0"/>
              <w:snapToGrid w:val="0"/>
              <w:spacing w:line="580" w:lineRule="exact"/>
              <w:jc w:val="left"/>
              <w:rPr>
                <w:rFonts w:eastAsia="仿宋_GB2312"/>
                <w:sz w:val="24"/>
                <w:szCs w:val="24"/>
              </w:rPr>
            </w:pPr>
            <w:r>
              <w:rPr>
                <w:rFonts w:eastAsia="仿宋"/>
                <w:sz w:val="24"/>
                <w:szCs w:val="24"/>
              </w:rPr>
              <w:t>除特殊事项外政务服务事项网上可办比例</w:t>
            </w:r>
            <w:r>
              <w:rPr>
                <w:rFonts w:eastAsia="仿宋_GB2312"/>
                <w:sz w:val="24"/>
                <w:szCs w:val="24"/>
              </w:rPr>
              <w:t>（%）</w:t>
            </w:r>
          </w:p>
        </w:tc>
        <w:tc>
          <w:tcPr>
            <w:tcW w:w="536" w:type="pct"/>
            <w:noWrap w:val="0"/>
            <w:tcMar>
              <w:left w:w="28" w:type="dxa"/>
              <w:right w:w="28" w:type="dxa"/>
            </w:tcMar>
            <w:vAlign w:val="center"/>
          </w:tcPr>
          <w:p>
            <w:pPr>
              <w:adjustRightInd w:val="0"/>
              <w:snapToGrid w:val="0"/>
              <w:spacing w:line="580" w:lineRule="exact"/>
              <w:jc w:val="left"/>
              <w:rPr>
                <w:rFonts w:eastAsia="仿宋_GB2312"/>
                <w:sz w:val="24"/>
                <w:szCs w:val="24"/>
              </w:rPr>
            </w:pPr>
            <w:r>
              <w:rPr>
                <w:rFonts w:eastAsia="仿宋_GB2312"/>
                <w:sz w:val="24"/>
                <w:szCs w:val="24"/>
              </w:rPr>
              <w:t>98</w:t>
            </w:r>
          </w:p>
        </w:tc>
        <w:tc>
          <w:tcPr>
            <w:tcW w:w="738" w:type="pct"/>
            <w:noWrap w:val="0"/>
            <w:tcMar>
              <w:left w:w="28" w:type="dxa"/>
              <w:right w:w="28" w:type="dxa"/>
            </w:tcMar>
            <w:vAlign w:val="center"/>
          </w:tcPr>
          <w:p>
            <w:pPr>
              <w:adjustRightInd w:val="0"/>
              <w:snapToGrid w:val="0"/>
              <w:spacing w:line="580" w:lineRule="exact"/>
              <w:jc w:val="left"/>
              <w:rPr>
                <w:rFonts w:eastAsia="仿宋_GB2312"/>
                <w:sz w:val="24"/>
                <w:szCs w:val="24"/>
              </w:rPr>
            </w:pPr>
            <w:r>
              <w:rPr>
                <w:rFonts w:eastAsia="仿宋_GB2312"/>
                <w:sz w:val="24"/>
                <w:szCs w:val="24"/>
              </w:rPr>
              <w:t>100</w:t>
            </w:r>
          </w:p>
        </w:tc>
        <w:tc>
          <w:tcPr>
            <w:tcW w:w="546" w:type="pct"/>
            <w:tcBorders>
              <w:right w:val="single" w:color="auto" w:sz="4" w:space="0"/>
            </w:tcBorders>
            <w:noWrap w:val="0"/>
            <w:tcMar>
              <w:left w:w="28" w:type="dxa"/>
              <w:right w:w="28" w:type="dxa"/>
            </w:tcMar>
            <w:vAlign w:val="center"/>
          </w:tcPr>
          <w:p>
            <w:pPr>
              <w:adjustRightInd w:val="0"/>
              <w:snapToGrid w:val="0"/>
              <w:spacing w:line="580" w:lineRule="exact"/>
              <w:jc w:val="left"/>
              <w:rPr>
                <w:rFonts w:eastAsia="仿宋_GB2312"/>
                <w:sz w:val="24"/>
                <w:szCs w:val="24"/>
              </w:rPr>
            </w:pPr>
            <w:r>
              <w:rPr>
                <w:rFonts w:eastAsia="仿宋_GB2312"/>
                <w:sz w:val="24"/>
                <w:szCs w:val="24"/>
              </w:rPr>
              <w:t>预期性</w:t>
            </w:r>
          </w:p>
        </w:tc>
      </w:tr>
    </w:tbl>
    <w:p>
      <w:pPr>
        <w:keepNext/>
        <w:keepLines/>
        <w:spacing w:line="580" w:lineRule="exact"/>
        <w:outlineLvl w:val="1"/>
        <w:rPr>
          <w:rFonts w:eastAsia="仿宋_GB2312"/>
          <w:bCs/>
          <w:szCs w:val="21"/>
        </w:rPr>
      </w:pPr>
      <w:r>
        <w:rPr>
          <w:rFonts w:eastAsia="仿宋_GB2312"/>
          <w:bCs/>
          <w:szCs w:val="21"/>
        </w:rPr>
        <w:t xml:space="preserve">      注：〔〕为五年累计数。</w:t>
      </w:r>
    </w:p>
    <w:p>
      <w:pPr>
        <w:keepNext/>
        <w:keepLines/>
        <w:spacing w:line="580" w:lineRule="exact"/>
        <w:ind w:firstLine="640" w:firstLineChars="200"/>
        <w:outlineLvl w:val="1"/>
        <w:rPr>
          <w:rFonts w:ascii="黑体" w:hAnsi="黑体" w:eastAsia="黑体"/>
          <w:bCs/>
          <w:sz w:val="32"/>
          <w:szCs w:val="32"/>
        </w:rPr>
      </w:pPr>
      <w:r>
        <w:rPr>
          <w:rFonts w:ascii="黑体" w:hAnsi="黑体" w:eastAsia="黑体"/>
          <w:bCs/>
          <w:sz w:val="32"/>
          <w:szCs w:val="32"/>
        </w:rPr>
        <w:t>四、重点任务</w:t>
      </w:r>
    </w:p>
    <w:p>
      <w:pPr>
        <w:keepNext/>
        <w:keepLines/>
        <w:spacing w:line="580" w:lineRule="exact"/>
        <w:ind w:firstLine="640" w:firstLineChars="200"/>
        <w:outlineLvl w:val="2"/>
        <w:rPr>
          <w:rFonts w:eastAsia="楷体"/>
          <w:bCs/>
          <w:sz w:val="32"/>
          <w:szCs w:val="32"/>
        </w:rPr>
      </w:pPr>
      <w:r>
        <w:rPr>
          <w:rFonts w:eastAsia="楷体"/>
          <w:bCs/>
          <w:sz w:val="32"/>
          <w:szCs w:val="32"/>
        </w:rPr>
        <w:t>（一）提高农业转移人口市民化质量</w:t>
      </w:r>
    </w:p>
    <w:p>
      <w:pPr>
        <w:spacing w:line="580" w:lineRule="exact"/>
        <w:ind w:firstLine="640" w:firstLineChars="200"/>
        <w:outlineLvl w:val="3"/>
        <w:rPr>
          <w:rFonts w:hint="eastAsia" w:eastAsia="仿宋_GB2312"/>
          <w:bCs/>
          <w:sz w:val="32"/>
          <w:szCs w:val="32"/>
        </w:rPr>
      </w:pPr>
      <w:r>
        <w:rPr>
          <w:rFonts w:eastAsia="方正仿宋_GBK"/>
          <w:bCs/>
          <w:sz w:val="32"/>
          <w:szCs w:val="32"/>
        </w:rPr>
        <w:t>1.</w:t>
      </w:r>
      <w:r>
        <w:rPr>
          <w:rFonts w:eastAsia="仿宋_GB2312"/>
          <w:bCs/>
          <w:sz w:val="32"/>
          <w:szCs w:val="32"/>
        </w:rPr>
        <w:t>完善农业转移人口市民化机制</w:t>
      </w:r>
    </w:p>
    <w:p>
      <w:pPr>
        <w:spacing w:line="580" w:lineRule="exact"/>
        <w:ind w:firstLine="640" w:firstLineChars="200"/>
        <w:rPr>
          <w:rFonts w:eastAsia="仿宋_GB2312"/>
          <w:bCs/>
          <w:sz w:val="32"/>
          <w:szCs w:val="32"/>
        </w:rPr>
      </w:pPr>
      <w:r>
        <w:rPr>
          <w:rFonts w:eastAsia="仿宋_GB2312"/>
          <w:bCs/>
          <w:sz w:val="32"/>
          <w:szCs w:val="32"/>
        </w:rPr>
        <w:t>完善市内户口统一登记迁移制度。加强户籍管理规范化建设。在滨海新区试点有条件放开外来人口落户限制。加大“人地钱”挂钩配套政策的激励力度。有序推动农村转移人口向条件较好、发展空间较大的城镇集中居住和创业发展。维护进城落户农民土地承包权、宅基地使用权、集体收益分配权，支持引导其依法自愿有偿转让上述权益。完善居住证和积分落户制度。不断提高外来人口居住证持有率，丰富居住证公共服务内容。合理调整积分指标和分值，确保社保缴纳年限和居住年限分数占主要比例，鼓励在我市稳定就业和稳定居住的外来人口落户定居。</w:t>
      </w:r>
    </w:p>
    <w:p>
      <w:pPr>
        <w:spacing w:line="580" w:lineRule="exact"/>
        <w:ind w:firstLine="640" w:firstLineChars="200"/>
        <w:outlineLvl w:val="3"/>
        <w:rPr>
          <w:rFonts w:hint="eastAsia" w:eastAsia="仿宋_GB2312"/>
          <w:bCs/>
          <w:sz w:val="32"/>
          <w:szCs w:val="32"/>
        </w:rPr>
      </w:pPr>
      <w:r>
        <w:rPr>
          <w:rFonts w:eastAsia="仿宋_GB2312"/>
          <w:bCs/>
          <w:sz w:val="32"/>
          <w:szCs w:val="32"/>
        </w:rPr>
        <w:t>2.大力提升农业转移人口就业能力</w:t>
      </w:r>
    </w:p>
    <w:p>
      <w:pPr>
        <w:spacing w:line="580" w:lineRule="exact"/>
        <w:ind w:firstLine="640" w:firstLineChars="200"/>
        <w:rPr>
          <w:rFonts w:eastAsia="仿宋_GB2312"/>
          <w:bCs/>
          <w:sz w:val="32"/>
          <w:szCs w:val="32"/>
        </w:rPr>
      </w:pPr>
      <w:r>
        <w:rPr>
          <w:rFonts w:eastAsia="仿宋_GB2312"/>
          <w:sz w:val="32"/>
          <w:szCs w:val="32"/>
        </w:rPr>
        <w:t>推动农业转移人口与城镇户籍劳动者享有公平的就业机会、职业发展机会，保障劳动者同工同酬。</w:t>
      </w:r>
      <w:r>
        <w:rPr>
          <w:rFonts w:eastAsia="仿宋_GB2312"/>
          <w:bCs/>
          <w:sz w:val="32"/>
          <w:szCs w:val="32"/>
        </w:rPr>
        <w:t>健全就业培训制度，加强农业转移人口的职业技能培训监管，实现农业转移人口就业培训规范化、标准化、信息化。加大对新生代农民工等农业转移人口的技能提升培训支持力度，鼓励企业特别是规模以上企业开展岗前培训、新型学徒制培训和岗位技能提升培训，并按规定给予培训补贴。鼓励农业转移人口报考职业院校，逐步完善通过技能水平测试等方式对农民工进行学历教育学分认定机制。拓宽就业岗位信息发布渠道，完善岗位信息服务平台建设，加强对用人单位的用工指导和对劳动者的求职服务，促进人岗精准对接。</w:t>
      </w:r>
      <w:r>
        <w:rPr>
          <w:rFonts w:eastAsia="仿宋_GB2312"/>
          <w:sz w:val="32"/>
          <w:szCs w:val="32"/>
        </w:rPr>
        <w:t>健全就业需求调查和失业监测预警机制。</w:t>
      </w:r>
    </w:p>
    <w:p>
      <w:pPr>
        <w:spacing w:line="580" w:lineRule="exact"/>
        <w:ind w:firstLine="640" w:firstLineChars="200"/>
        <w:rPr>
          <w:rFonts w:hint="eastAsia" w:eastAsia="仿宋_GB2312"/>
          <w:bCs/>
          <w:sz w:val="32"/>
          <w:szCs w:val="32"/>
        </w:rPr>
      </w:pPr>
      <w:r>
        <w:rPr>
          <w:rFonts w:eastAsia="仿宋_GB2312"/>
          <w:bCs/>
          <w:sz w:val="32"/>
          <w:szCs w:val="32"/>
        </w:rPr>
        <w:t>3.提升城市对农业转移人口的包容性</w:t>
      </w:r>
    </w:p>
    <w:p>
      <w:pPr>
        <w:spacing w:line="580" w:lineRule="exact"/>
        <w:ind w:firstLine="640" w:firstLineChars="200"/>
        <w:rPr>
          <w:rFonts w:eastAsia="仿宋_GB2312"/>
          <w:bCs/>
          <w:sz w:val="32"/>
          <w:szCs w:val="32"/>
        </w:rPr>
      </w:pPr>
      <w:r>
        <w:rPr>
          <w:rFonts w:eastAsia="仿宋_GB2312"/>
          <w:bCs/>
          <w:sz w:val="32"/>
          <w:szCs w:val="32"/>
        </w:rPr>
        <w:t>完善城乡一体的基本公共服务资源配置标准，以标准化手段规范服务流程、提升服务质量，面向常住人口提供基本公共服务。适度增加学位供给，将异地务工人员随迁子女接受义务教育全面纳入教育发展规划和财政预算，全面落实《天津市居住证持有人随迁子女在本市接受教育实施细则》。积极引导农业转移人口有序参政议政和参加社会管理，大力提倡农业转移人口参与社区建设管理</w:t>
      </w:r>
      <w:r>
        <w:rPr>
          <w:rFonts w:hint="eastAsia" w:eastAsia="仿宋_GB2312"/>
          <w:bCs/>
          <w:sz w:val="32"/>
          <w:szCs w:val="32"/>
        </w:rPr>
        <w:t>和</w:t>
      </w:r>
      <w:r>
        <w:rPr>
          <w:rFonts w:eastAsia="仿宋_GB2312"/>
          <w:bCs/>
          <w:sz w:val="32"/>
          <w:szCs w:val="32"/>
        </w:rPr>
        <w:t>公共活动</w:t>
      </w:r>
      <w:r>
        <w:rPr>
          <w:rFonts w:hint="eastAsia" w:eastAsia="仿宋_GB2312"/>
          <w:bCs/>
          <w:sz w:val="32"/>
          <w:szCs w:val="32"/>
        </w:rPr>
        <w:t>，</w:t>
      </w:r>
      <w:r>
        <w:rPr>
          <w:rFonts w:eastAsia="仿宋_GB2312"/>
          <w:bCs/>
          <w:sz w:val="32"/>
          <w:szCs w:val="32"/>
        </w:rPr>
        <w:t>推进农业转移人口家庭融入社区、农业转移人口群体融入社会。</w:t>
      </w:r>
    </w:p>
    <w:p>
      <w:pPr>
        <w:widowControl/>
        <w:spacing w:line="580" w:lineRule="exact"/>
        <w:ind w:firstLine="640" w:firstLineChars="200"/>
        <w:rPr>
          <w:rFonts w:hint="eastAsia" w:eastAsia="仿宋_GB2312"/>
          <w:sz w:val="32"/>
          <w:szCs w:val="32"/>
        </w:rPr>
      </w:pPr>
      <w:r>
        <w:rPr>
          <w:rFonts w:eastAsia="仿宋_GB2312"/>
          <w:sz w:val="32"/>
          <w:szCs w:val="32"/>
        </w:rPr>
        <w:t>4.扩大城镇住房保障覆盖面</w:t>
      </w:r>
    </w:p>
    <w:p>
      <w:pPr>
        <w:widowControl/>
        <w:spacing w:line="580" w:lineRule="exact"/>
        <w:ind w:firstLine="640" w:firstLineChars="200"/>
        <w:rPr>
          <w:rFonts w:eastAsia="仿宋_GB2312"/>
          <w:sz w:val="32"/>
          <w:szCs w:val="32"/>
        </w:rPr>
      </w:pPr>
      <w:r>
        <w:rPr>
          <w:rFonts w:eastAsia="仿宋_GB2312"/>
          <w:sz w:val="32"/>
          <w:szCs w:val="32"/>
        </w:rPr>
        <w:t>加快构建以公租房、保障性租赁住房和共有产权住房为主体的住房保障体系，扩大保障性住房供给。完善保障性租赁住房政策，因地制宜发展共有产权住房，多元化满足农业转移人口等租房、购房需求。制定公平合理、公开透明的保障性住房配租政策和监管程序，严格准入和退出制度，建立失信惩戒机制。</w:t>
      </w:r>
    </w:p>
    <w:p>
      <w:pPr>
        <w:keepNext/>
        <w:keepLines/>
        <w:spacing w:line="580" w:lineRule="exact"/>
        <w:ind w:firstLine="640" w:firstLineChars="200"/>
        <w:outlineLvl w:val="2"/>
        <w:rPr>
          <w:rFonts w:eastAsia="楷体"/>
          <w:sz w:val="32"/>
          <w:szCs w:val="32"/>
        </w:rPr>
      </w:pPr>
      <w:r>
        <w:rPr>
          <w:rFonts w:eastAsia="楷体"/>
          <w:sz w:val="32"/>
          <w:szCs w:val="32"/>
        </w:rPr>
        <w:t>（二）实施因地制宜的城镇化分类推进模式</w:t>
      </w:r>
    </w:p>
    <w:p>
      <w:pPr>
        <w:spacing w:line="580" w:lineRule="exact"/>
        <w:ind w:firstLine="640"/>
        <w:rPr>
          <w:rFonts w:hint="eastAsia" w:eastAsia="仿宋_GB2312"/>
          <w:bCs/>
          <w:sz w:val="32"/>
          <w:szCs w:val="32"/>
        </w:rPr>
      </w:pPr>
      <w:r>
        <w:rPr>
          <w:rFonts w:eastAsia="仿宋_GB2312"/>
          <w:bCs/>
          <w:sz w:val="32"/>
          <w:szCs w:val="32"/>
        </w:rPr>
        <w:t>1.提升中心城区功能品质，建设国际大都市核心区</w:t>
      </w:r>
    </w:p>
    <w:p>
      <w:pPr>
        <w:spacing w:line="580" w:lineRule="exact"/>
        <w:ind w:firstLine="640"/>
        <w:rPr>
          <w:rFonts w:eastAsia="仿宋_GB2312"/>
          <w:bCs/>
          <w:sz w:val="32"/>
          <w:szCs w:val="32"/>
        </w:rPr>
      </w:pPr>
      <w:r>
        <w:rPr>
          <w:rFonts w:eastAsia="仿宋_GB2312"/>
          <w:bCs/>
          <w:sz w:val="32"/>
          <w:szCs w:val="32"/>
        </w:rPr>
        <w:t>提升中心城区能级，建设国际化的宜居宜业示范城区。对标国际化大都市中心城区的建设标准，全面提升城市交通、教育、医疗等公共服务体系及基础设施水平，积极营造具有亲和力的城市公共空间，提高智慧化与精细化城市治理能力，显著改善城市机能与城市品质。打造便捷优质的政务环境，做优做强现代服务功能，提升对高能级城市核心功能的承载力，优化行政中心职能，</w:t>
      </w:r>
      <w:r>
        <w:rPr>
          <w:rFonts w:hint="eastAsia" w:eastAsia="仿宋_GB2312"/>
          <w:bCs/>
          <w:sz w:val="32"/>
          <w:szCs w:val="32"/>
        </w:rPr>
        <w:t>建设</w:t>
      </w:r>
      <w:r>
        <w:rPr>
          <w:rFonts w:eastAsia="仿宋_GB2312"/>
          <w:bCs/>
          <w:sz w:val="32"/>
          <w:szCs w:val="32"/>
        </w:rPr>
        <w:t>京津发展轴的重要节点和京津冀世界级城市群的重要中枢，</w:t>
      </w:r>
      <w:r>
        <w:rPr>
          <w:rFonts w:hint="eastAsia" w:eastAsia="仿宋_GB2312"/>
          <w:bCs/>
          <w:sz w:val="32"/>
          <w:szCs w:val="32"/>
        </w:rPr>
        <w:t>打造</w:t>
      </w:r>
      <w:r>
        <w:rPr>
          <w:rFonts w:eastAsia="仿宋_GB2312"/>
          <w:bCs/>
          <w:sz w:val="32"/>
          <w:szCs w:val="32"/>
        </w:rPr>
        <w:t>文化旅游中心、科教创新中心和历史文化名城。</w:t>
      </w:r>
    </w:p>
    <w:p>
      <w:pPr>
        <w:spacing w:line="580" w:lineRule="exact"/>
        <w:ind w:firstLine="640"/>
        <w:rPr>
          <w:rFonts w:eastAsia="仿宋_GB2312"/>
          <w:bCs/>
          <w:sz w:val="32"/>
          <w:szCs w:val="32"/>
        </w:rPr>
      </w:pPr>
      <w:r>
        <w:rPr>
          <w:rFonts w:eastAsia="仿宋_GB2312"/>
          <w:bCs/>
          <w:sz w:val="32"/>
          <w:szCs w:val="32"/>
        </w:rPr>
        <w:t>打造中心城区现代服务体系，推进空间有效利用。积极发展金融、科技、商务商贸、文化创意、休闲旅游等现代服务业，促进生产性服务业向专业化和价值链高端延伸，推动生活性服务业向高品质和多样化升级，加快形成与现代化大都市地位相适应的服务经济体系，带动中心城区与周边地区之间的一体化发展。推进空间利用向高效化转变，加快对传统工业区和低效服务用地的综合整治，腾出空间用以大力发展互联网、云计算、数字文化创意、工程设计等都市型产业，打造高技术服务和都市产业集聚区，增强经济活力与就业吸纳能力。</w:t>
      </w:r>
    </w:p>
    <w:p>
      <w:pPr>
        <w:spacing w:line="580" w:lineRule="exact"/>
        <w:ind w:firstLine="641"/>
        <w:rPr>
          <w:rFonts w:eastAsia="仿宋_GB2312"/>
          <w:bCs/>
          <w:sz w:val="32"/>
          <w:szCs w:val="32"/>
        </w:rPr>
      </w:pPr>
      <w:r>
        <w:rPr>
          <w:rFonts w:eastAsia="仿宋_GB2312"/>
          <w:bCs/>
          <w:sz w:val="32"/>
          <w:szCs w:val="32"/>
        </w:rPr>
        <w:t>打造特色街区，有序实施城市升级赋能。准确把握街区的历史文脉价值，加快改造老旧街区，重点打造商业步行街区、文化艺术街区、时尚街区、古城古街等特色街区，形成拉动市民消费的新型文旅商业聚集区，促进街区的业态更新、经济发展和传统文化保护传承，</w:t>
      </w:r>
      <w:r>
        <w:rPr>
          <w:rFonts w:eastAsia="仿宋_GB2312"/>
          <w:sz w:val="32"/>
          <w:szCs w:val="32"/>
        </w:rPr>
        <w:t>将“中西合璧、古今交融”的历史文化源流</w:t>
      </w:r>
      <w:r>
        <w:rPr>
          <w:rFonts w:hint="eastAsia" w:eastAsia="仿宋_GB2312"/>
          <w:sz w:val="32"/>
          <w:szCs w:val="32"/>
        </w:rPr>
        <w:t>融入</w:t>
      </w:r>
      <w:r>
        <w:rPr>
          <w:rFonts w:eastAsia="仿宋_GB2312"/>
          <w:sz w:val="32"/>
          <w:szCs w:val="32"/>
        </w:rPr>
        <w:t>到城市格局中。深挖大运河文化遗产、名人故居、工业遗产、革命文物等宝贵资源，打造“洋楼”文化消费名片，推进非物质文化遗产保护传承和老字号复兴。</w:t>
      </w:r>
      <w:r>
        <w:rPr>
          <w:rFonts w:eastAsia="仿宋_GB2312"/>
          <w:bCs/>
          <w:sz w:val="32"/>
          <w:szCs w:val="32"/>
        </w:rPr>
        <w:t>实现品质高端化和业态多元化，发展成为新型文旅商业消费集聚区。以功能升级、型态更新、品质重塑为导向，将科技赋能与业态创新融入城市发展，促进产业经济升级、空间集约高效和民生服务提升，打造魅力人文之城。</w:t>
      </w:r>
    </w:p>
    <w:p>
      <w:pPr>
        <w:spacing w:line="580" w:lineRule="exact"/>
        <w:ind w:firstLine="641"/>
        <w:rPr>
          <w:rFonts w:eastAsia="仿宋_GB2312"/>
          <w:bCs/>
          <w:sz w:val="32"/>
          <w:szCs w:val="32"/>
        </w:rPr>
      </w:pPr>
      <w:r>
        <w:rPr>
          <w:rFonts w:eastAsia="仿宋_GB2312"/>
          <w:bCs/>
          <w:sz w:val="32"/>
          <w:szCs w:val="32"/>
        </w:rPr>
        <mc:AlternateContent>
          <mc:Choice Requires="wps">
            <w:drawing>
              <wp:anchor distT="0" distB="0" distL="114300" distR="114300" simplePos="0" relativeHeight="251659264" behindDoc="0" locked="0" layoutInCell="1" allowOverlap="1">
                <wp:simplePos x="0" y="0"/>
                <wp:positionH relativeFrom="column">
                  <wp:posOffset>15240</wp:posOffset>
                </wp:positionH>
                <wp:positionV relativeFrom="page">
                  <wp:posOffset>1682750</wp:posOffset>
                </wp:positionV>
                <wp:extent cx="5579745" cy="2947035"/>
                <wp:effectExtent l="4445" t="5080" r="16510" b="19685"/>
                <wp:wrapSquare wrapText="bothSides"/>
                <wp:docPr id="4" name="文本框 4"/>
                <wp:cNvGraphicFramePr/>
                <a:graphic xmlns:a="http://schemas.openxmlformats.org/drawingml/2006/main">
                  <a:graphicData uri="http://schemas.microsoft.com/office/word/2010/wordprocessingShape">
                    <wps:wsp>
                      <wps:cNvSpPr txBox="1"/>
                      <wps:spPr>
                        <a:xfrm>
                          <a:off x="0" y="0"/>
                          <a:ext cx="5313680" cy="2703444"/>
                        </a:xfrm>
                        <a:prstGeom prst="rect">
                          <a:avLst/>
                        </a:prstGeom>
                        <a:solidFill>
                          <a:srgbClr val="FFFFFF"/>
                        </a:solidFill>
                        <a:ln w="6350">
                          <a:solidFill>
                            <a:prstClr val="black"/>
                          </a:solidFill>
                        </a:ln>
                        <a:effectLst/>
                      </wps:spPr>
                      <wps:txbx>
                        <w:txbxContent>
                          <w:p>
                            <w:pPr>
                              <w:jc w:val="center"/>
                              <w:rPr>
                                <w:rFonts w:eastAsia="楷体"/>
                                <w:b/>
                                <w:bCs/>
                                <w:sz w:val="28"/>
                                <w:szCs w:val="32"/>
                              </w:rPr>
                            </w:pPr>
                            <w:r>
                              <w:rPr>
                                <w:rFonts w:hint="eastAsia" w:eastAsia="楷体"/>
                                <w:b/>
                                <w:bCs/>
                                <w:sz w:val="28"/>
                                <w:szCs w:val="32"/>
                              </w:rPr>
                              <w:t>专栏1</w:t>
                            </w:r>
                            <w:r>
                              <w:rPr>
                                <w:rFonts w:eastAsia="楷体"/>
                                <w:b/>
                                <w:bCs/>
                                <w:sz w:val="28"/>
                                <w:szCs w:val="32"/>
                              </w:rPr>
                              <w:t xml:space="preserve"> </w:t>
                            </w:r>
                            <w:r>
                              <w:rPr>
                                <w:rFonts w:hint="eastAsia" w:eastAsia="楷体"/>
                                <w:b/>
                                <w:bCs/>
                                <w:sz w:val="28"/>
                                <w:szCs w:val="32"/>
                              </w:rPr>
                              <w:t>高品质商圈改造提升</w:t>
                            </w:r>
                            <w:r>
                              <w:rPr>
                                <w:rFonts w:eastAsia="楷体"/>
                                <w:b/>
                                <w:bCs/>
                                <w:sz w:val="28"/>
                                <w:szCs w:val="32"/>
                              </w:rPr>
                              <w:t>工程</w:t>
                            </w:r>
                          </w:p>
                          <w:p>
                            <w:pPr>
                              <w:spacing w:line="360" w:lineRule="auto"/>
                              <w:ind w:firstLine="480" w:firstLineChars="200"/>
                              <w:rPr>
                                <w:rFonts w:hint="eastAsia" w:ascii="仿宋_GB2312" w:hAnsi="仿宋_GB2312" w:eastAsia="仿宋_GB2312" w:cs="仿宋_GB2312"/>
                                <w:sz w:val="24"/>
                              </w:rPr>
                            </w:pPr>
                            <w:r>
                              <w:rPr>
                                <w:rFonts w:hint="eastAsia" w:ascii="仿宋_GB2312" w:hAnsi="仿宋_GB2312" w:eastAsia="仿宋_GB2312" w:cs="仿宋_GB2312"/>
                                <w:sz w:val="24"/>
                              </w:rPr>
                              <w:t>打造金街步行街地标商圈，持续深化全国示范步行街改造提升工程，加快建设印象城等重点项目，提升一批凝结城市记忆老商号、老字号运营活力，打造和平路非遗特色技艺展示区和赤峰道时尚消费文化旅游购物带。</w:t>
                            </w:r>
                          </w:p>
                          <w:p>
                            <w:pPr>
                              <w:spacing w:line="360" w:lineRule="auto"/>
                              <w:ind w:firstLine="480" w:firstLineChars="200"/>
                              <w:rPr>
                                <w:rFonts w:hint="eastAsia" w:ascii="仿宋_GB2312" w:hAnsi="仿宋_GB2312" w:eastAsia="仿宋_GB2312" w:cs="仿宋_GB2312"/>
                                <w:sz w:val="24"/>
                              </w:rPr>
                            </w:pPr>
                            <w:r>
                              <w:rPr>
                                <w:rFonts w:hint="eastAsia" w:ascii="仿宋_GB2312" w:hAnsi="仿宋_GB2312" w:eastAsia="仿宋_GB2312" w:cs="仿宋_GB2312"/>
                                <w:sz w:val="24"/>
                              </w:rPr>
                              <w:t>打造老城厢-古文化街地标商圈，发展茶社、非遗及老字号体验馆等文旅业态，实施民居民宿及大狮子胡同美食坊改造项目。推进津湾广场、泰安道-小白楼、南门外大街、六纬路、大胡同等商圈商街提升改造，构建海河国际商业中心多点支撑格局。鼓励商业街区、旅游景区、居民社区布局智慧商店、智慧餐厅、智慧驿站、智慧书店等智慧门店。</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2pt;margin-top:132.5pt;height:232.05pt;width:439.35pt;mso-position-vertical-relative:page;mso-wrap-distance-bottom:0pt;mso-wrap-distance-left:9pt;mso-wrap-distance-right:9pt;mso-wrap-distance-top:0pt;z-index:251659264;mso-width-relative:page;mso-height-relative:page;" fillcolor="#FFFFFF" filled="t" stroked="t" coordsize="21600,21600" o:gfxdata="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">
                <v:path/>
                <v:fill on="t" focussize="0,0"/>
                <v:stroke weight="0.5pt" joinstyle="round"/>
                <v:imagedata o:title=""/>
                <o:lock v:ext="edit" aspectratio="f"/>
                <v:textbox>
                  <w:txbxContent>
                    <w:p>
                      <w:pPr>
                        <w:jc w:val="center"/>
                        <w:rPr>
                          <w:rFonts w:eastAsia="楷体"/>
                          <w:b/>
                          <w:bCs/>
                          <w:sz w:val="28"/>
                          <w:szCs w:val="32"/>
                        </w:rPr>
                      </w:pPr>
                      <w:r>
                        <w:rPr>
                          <w:rFonts w:hint="eastAsia" w:eastAsia="楷体"/>
                          <w:b/>
                          <w:bCs/>
                          <w:sz w:val="28"/>
                          <w:szCs w:val="32"/>
                        </w:rPr>
                        <w:t>专栏1</w:t>
                      </w:r>
                      <w:r>
                        <w:rPr>
                          <w:rFonts w:eastAsia="楷体"/>
                          <w:b/>
                          <w:bCs/>
                          <w:sz w:val="28"/>
                          <w:szCs w:val="32"/>
                        </w:rPr>
                        <w:t xml:space="preserve"> </w:t>
                      </w:r>
                      <w:r>
                        <w:rPr>
                          <w:rFonts w:hint="eastAsia" w:eastAsia="楷体"/>
                          <w:b/>
                          <w:bCs/>
                          <w:sz w:val="28"/>
                          <w:szCs w:val="32"/>
                        </w:rPr>
                        <w:t>高品质商圈改造提升</w:t>
                      </w:r>
                      <w:r>
                        <w:rPr>
                          <w:rFonts w:eastAsia="楷体"/>
                          <w:b/>
                          <w:bCs/>
                          <w:sz w:val="28"/>
                          <w:szCs w:val="32"/>
                        </w:rPr>
                        <w:t>工程</w:t>
                      </w:r>
                    </w:p>
                    <w:p>
                      <w:pPr>
                        <w:spacing w:line="360" w:lineRule="auto"/>
                        <w:ind w:firstLine="480" w:firstLineChars="200"/>
                        <w:rPr>
                          <w:rFonts w:hint="eastAsia" w:ascii="仿宋_GB2312" w:hAnsi="仿宋_GB2312" w:eastAsia="仿宋_GB2312" w:cs="仿宋_GB2312"/>
                          <w:sz w:val="24"/>
                        </w:rPr>
                      </w:pPr>
                      <w:r>
                        <w:rPr>
                          <w:rFonts w:hint="eastAsia" w:ascii="仿宋_GB2312" w:hAnsi="仿宋_GB2312" w:eastAsia="仿宋_GB2312" w:cs="仿宋_GB2312"/>
                          <w:sz w:val="24"/>
                        </w:rPr>
                        <w:t>打造金街步行街地标商圈，持续深化全国示范步行街改造提升工程，加快建设印象城等重点项目，提升一批凝结城市记忆老商号、老字号运营活力，打造和平路非遗特色技艺展示区和赤峰道时尚消费文化旅游购物带。</w:t>
                      </w:r>
                    </w:p>
                    <w:p>
                      <w:pPr>
                        <w:spacing w:line="360" w:lineRule="auto"/>
                        <w:ind w:firstLine="480" w:firstLineChars="200"/>
                        <w:rPr>
                          <w:rFonts w:hint="eastAsia" w:ascii="仿宋_GB2312" w:hAnsi="仿宋_GB2312" w:eastAsia="仿宋_GB2312" w:cs="仿宋_GB2312"/>
                          <w:sz w:val="24"/>
                        </w:rPr>
                      </w:pPr>
                      <w:r>
                        <w:rPr>
                          <w:rFonts w:hint="eastAsia" w:ascii="仿宋_GB2312" w:hAnsi="仿宋_GB2312" w:eastAsia="仿宋_GB2312" w:cs="仿宋_GB2312"/>
                          <w:sz w:val="24"/>
                        </w:rPr>
                        <w:t>打造老城厢-古文化街地标商圈，发展茶社、非遗及老字号体验馆等文旅业态，实施民居民宿及大狮子胡同美食坊改造项目。推进津湾广场、泰安道-小白楼、南门外大街、六纬路、大胡同等商圈商街提升改造，构建海河国际商业中心多点支撑格局。鼓励商业街区、旅游景区、居民社区布局智慧商店、智慧餐厅、智慧驿站、智慧书店等智慧门店。</w:t>
                      </w:r>
                    </w:p>
                  </w:txbxContent>
                </v:textbox>
                <w10:wrap type="square"/>
              </v:shape>
            </w:pict>
          </mc:Fallback>
        </mc:AlternateContent>
      </w:r>
    </w:p>
    <w:p>
      <w:pPr>
        <w:spacing w:line="580" w:lineRule="exact"/>
        <w:ind w:firstLine="641"/>
        <w:rPr>
          <w:rFonts w:hint="eastAsia" w:eastAsia="仿宋_GB2312"/>
          <w:bCs/>
          <w:sz w:val="32"/>
          <w:szCs w:val="32"/>
        </w:rPr>
      </w:pPr>
      <w:r>
        <w:rPr>
          <w:rFonts w:eastAsia="仿宋_GB2312"/>
          <w:bCs/>
          <w:sz w:val="32"/>
          <w:szCs w:val="32"/>
        </w:rPr>
        <w:t>2.加速港产城融合，加快滨海新区海滨城市建设</w:t>
      </w:r>
    </w:p>
    <w:p>
      <w:pPr>
        <w:spacing w:line="580" w:lineRule="exact"/>
        <w:ind w:firstLine="641"/>
        <w:rPr>
          <w:rFonts w:eastAsia="仿宋_GB2312"/>
          <w:bCs/>
          <w:sz w:val="32"/>
          <w:szCs w:val="32"/>
        </w:rPr>
      </w:pPr>
      <w:r>
        <w:rPr>
          <w:rFonts w:eastAsia="仿宋_GB2312"/>
          <w:bCs/>
          <w:sz w:val="32"/>
          <w:szCs w:val="32"/>
        </w:rPr>
        <w:t>加快推进港产城融合，打造滨海城市新风貌。促进海港与城市之间深度融合，打造疏港交通与城市交通协同有序、集疏运结构合理、港城共同繁荣发展的交通网络。打造“一主两副六组团”的空间结构，以“六组团”作为港产城融合的重要载体，明确港城边界，完善城市基本功能，强化与周边大型居住区的联系，推动职住平衡，实现生产空间集约高效、生活空间宜居适度，加速由港口、产业功能主导区向港产城融合发展新城区的转化。打造沿海蓝色走廊、海河都市观光带，突出工业旅游、乡村旅游、生态旅游三大特色，串联东疆湾沙滩、国家海洋博物馆、妈祖文化园、航母主题公园等海洋文旅资源，打造海洋文化新地标。</w:t>
      </w:r>
    </w:p>
    <w:p>
      <w:pPr>
        <w:rPr>
          <w:rFonts w:eastAsia="文星仿宋"/>
          <w:sz w:val="32"/>
          <w:szCs w:val="22"/>
        </w:rPr>
      </w:pPr>
    </w:p>
    <w:p>
      <w:pPr>
        <w:tabs>
          <w:tab w:val="center" w:pos="4153"/>
          <w:tab w:val="right" w:pos="8306"/>
        </w:tabs>
        <w:snapToGrid w:val="0"/>
        <w:jc w:val="left"/>
        <w:rPr>
          <w:sz w:val="18"/>
          <w:szCs w:val="18"/>
        </w:rPr>
      </w:pPr>
      <w:r>
        <w:rPr>
          <w:rFonts w:eastAsia="楷体_GB2312"/>
          <w:kern w:val="0"/>
          <w:sz w:val="32"/>
          <w:szCs w:val="32"/>
        </w:rPr>
        <mc:AlternateContent>
          <mc:Choice Requires="wps">
            <w:drawing>
              <wp:anchor distT="0" distB="0" distL="114300" distR="114300" simplePos="0" relativeHeight="251661312" behindDoc="0" locked="0" layoutInCell="1" allowOverlap="1">
                <wp:simplePos x="0" y="0"/>
                <wp:positionH relativeFrom="column">
                  <wp:posOffset>-36830</wp:posOffset>
                </wp:positionH>
                <wp:positionV relativeFrom="page">
                  <wp:posOffset>1253490</wp:posOffset>
                </wp:positionV>
                <wp:extent cx="5485130" cy="2877820"/>
                <wp:effectExtent l="4445" t="4445" r="15875" b="13335"/>
                <wp:wrapTopAndBottom/>
                <wp:docPr id="1" name="文本框 1"/>
                <wp:cNvGraphicFramePr/>
                <a:graphic xmlns:a="http://schemas.openxmlformats.org/drawingml/2006/main">
                  <a:graphicData uri="http://schemas.microsoft.com/office/word/2010/wordprocessingShape">
                    <wps:wsp>
                      <wps:cNvSpPr txBox="1"/>
                      <wps:spPr>
                        <a:xfrm>
                          <a:off x="0" y="0"/>
                          <a:ext cx="5816600" cy="2556510"/>
                        </a:xfrm>
                        <a:prstGeom prst="rect">
                          <a:avLst/>
                        </a:prstGeom>
                        <a:solidFill>
                          <a:srgbClr val="FFFFFF"/>
                        </a:solidFill>
                        <a:ln w="6350" cap="flat" cmpd="sng">
                          <a:solidFill>
                            <a:srgbClr val="000000"/>
                          </a:solidFill>
                          <a:prstDash val="solid"/>
                          <a:round/>
                          <a:headEnd type="none" w="med" len="med"/>
                          <a:tailEnd type="none" w="med" len="med"/>
                        </a:ln>
                        <a:effectLst/>
                      </wps:spPr>
                      <wps:txbx>
                        <w:txbxContent>
                          <w:p>
                            <w:pPr>
                              <w:jc w:val="center"/>
                              <w:rPr>
                                <w:rFonts w:eastAsia="楷体"/>
                                <w:b/>
                                <w:bCs/>
                                <w:sz w:val="28"/>
                                <w:szCs w:val="32"/>
                              </w:rPr>
                            </w:pPr>
                            <w:r>
                              <w:rPr>
                                <w:rFonts w:hint="eastAsia" w:eastAsia="楷体"/>
                                <w:b/>
                                <w:bCs/>
                                <w:sz w:val="28"/>
                                <w:szCs w:val="32"/>
                              </w:rPr>
                              <w:t>专栏</w:t>
                            </w:r>
                            <w:r>
                              <w:rPr>
                                <w:rFonts w:eastAsia="楷体"/>
                                <w:b/>
                                <w:bCs/>
                                <w:sz w:val="28"/>
                                <w:szCs w:val="32"/>
                              </w:rPr>
                              <w:t>2</w:t>
                            </w:r>
                            <w:r>
                              <w:rPr>
                                <w:rFonts w:hint="eastAsia" w:eastAsia="楷体"/>
                                <w:b/>
                                <w:bCs/>
                                <w:sz w:val="28"/>
                                <w:szCs w:val="32"/>
                              </w:rPr>
                              <w:t xml:space="preserve"> 滨城“一主两副六组团”空间结构</w:t>
                            </w:r>
                          </w:p>
                          <w:p>
                            <w:pPr>
                              <w:spacing w:line="360" w:lineRule="auto"/>
                              <w:ind w:firstLine="480" w:firstLineChars="200"/>
                              <w:rPr>
                                <w:rFonts w:eastAsia="仿宋_GB2312"/>
                                <w:sz w:val="24"/>
                              </w:rPr>
                            </w:pPr>
                            <w:r>
                              <w:rPr>
                                <w:rFonts w:eastAsia="仿宋_GB2312"/>
                                <w:sz w:val="24"/>
                              </w:rPr>
                              <w:t>1.“一主”。以主城区为核心，沿中央大道和海河两岸双轴延伸发展，重点促进人口和高端服务集聚，提升城市品质和服务能级，展现现代化“滨城”城市中心形象。</w:t>
                            </w:r>
                          </w:p>
                          <w:p>
                            <w:pPr>
                              <w:spacing w:line="360" w:lineRule="auto"/>
                              <w:ind w:firstLine="480" w:firstLineChars="200"/>
                              <w:rPr>
                                <w:rFonts w:eastAsia="仿宋_GB2312"/>
                                <w:sz w:val="24"/>
                              </w:rPr>
                            </w:pPr>
                            <w:r>
                              <w:rPr>
                                <w:rFonts w:eastAsia="仿宋_GB2312"/>
                                <w:sz w:val="24"/>
                              </w:rPr>
                              <w:t>2.“两副”。以大港城区、汉沽城区为核心，完善城区配套设施，增强公共服务功能，建设大港、汉沽综合性城市片区，带动南北两翼均衡发展，实现以副辅主、主副共兴。</w:t>
                            </w:r>
                          </w:p>
                          <w:p>
                            <w:pPr>
                              <w:spacing w:line="360" w:lineRule="auto"/>
                              <w:ind w:firstLine="480" w:firstLineChars="200"/>
                              <w:rPr>
                                <w:rFonts w:eastAsia="仿宋_GB2312"/>
                                <w:sz w:val="24"/>
                              </w:rPr>
                            </w:pPr>
                            <w:r>
                              <w:rPr>
                                <w:rFonts w:eastAsia="仿宋_GB2312"/>
                                <w:sz w:val="24"/>
                              </w:rPr>
                              <w:t>3.“六组团”。主要包括国际航运核心区组团、中欧产业园核心区组团、南港工业区组团、空港组团、科技城组团、油田组团。</w:t>
                            </w:r>
                          </w:p>
                        </w:txbxContent>
                      </wps:txbx>
                      <wps:bodyPr upright="1"/>
                    </wps:wsp>
                  </a:graphicData>
                </a:graphic>
              </wp:anchor>
            </w:drawing>
          </mc:Choice>
          <mc:Fallback>
            <w:pict>
              <v:shape id="_x0000_s1026" o:spid="_x0000_s1026" o:spt="202" type="#_x0000_t202" style="position:absolute;left:0pt;margin-left:-2.9pt;margin-top:98.7pt;height:226.6pt;width:431.9pt;mso-position-vertical-relative:page;mso-wrap-distance-bottom:0pt;mso-wrap-distance-top:0pt;z-index:251661312;mso-width-relative:page;mso-height-relative:page;" fillcolor="#FFFFFF" filled="t" stroked="t" coordsize="21600,21600" o:gfxdata="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DrFqhc1wAAAAoBAAAPAAAAAAAAAAEA&#10;IAAAACIAAABkcnMvZG93bnJldi54bWxQSwECFAAUAAAACACHTuJAz02d9RACAABFBAAADgAAAAAA&#10;AAABACAAAAAmAQAAZHJzL2Uyb0RvYy54bWxQSwUGAAAAAAYABgBZAQAAqAUAAAAA&#10;">
                <v:path/>
                <v:fill on="t" focussize="0,0"/>
                <v:stroke weight="0.5pt" joinstyle="round"/>
                <v:imagedata o:title=""/>
                <o:lock v:ext="edit" aspectratio="f"/>
                <v:textbox>
                  <w:txbxContent>
                    <w:p>
                      <w:pPr>
                        <w:jc w:val="center"/>
                        <w:rPr>
                          <w:rFonts w:eastAsia="楷体"/>
                          <w:b/>
                          <w:bCs/>
                          <w:sz w:val="28"/>
                          <w:szCs w:val="32"/>
                        </w:rPr>
                      </w:pPr>
                      <w:r>
                        <w:rPr>
                          <w:rFonts w:hint="eastAsia" w:eastAsia="楷体"/>
                          <w:b/>
                          <w:bCs/>
                          <w:sz w:val="28"/>
                          <w:szCs w:val="32"/>
                        </w:rPr>
                        <w:t>专栏</w:t>
                      </w:r>
                      <w:r>
                        <w:rPr>
                          <w:rFonts w:eastAsia="楷体"/>
                          <w:b/>
                          <w:bCs/>
                          <w:sz w:val="28"/>
                          <w:szCs w:val="32"/>
                        </w:rPr>
                        <w:t>2</w:t>
                      </w:r>
                      <w:r>
                        <w:rPr>
                          <w:rFonts w:hint="eastAsia" w:eastAsia="楷体"/>
                          <w:b/>
                          <w:bCs/>
                          <w:sz w:val="28"/>
                          <w:szCs w:val="32"/>
                        </w:rPr>
                        <w:t xml:space="preserve"> 滨城“一主两副六组团”空间结构</w:t>
                      </w:r>
                    </w:p>
                    <w:p>
                      <w:pPr>
                        <w:spacing w:line="360" w:lineRule="auto"/>
                        <w:ind w:firstLine="480" w:firstLineChars="200"/>
                        <w:rPr>
                          <w:rFonts w:eastAsia="仿宋_GB2312"/>
                          <w:sz w:val="24"/>
                        </w:rPr>
                      </w:pPr>
                      <w:r>
                        <w:rPr>
                          <w:rFonts w:eastAsia="仿宋_GB2312"/>
                          <w:sz w:val="24"/>
                        </w:rPr>
                        <w:t>1.“一主”。以主城区为核心，沿中央大道和海河两岸双轴延伸发展，重点促进人口和高端服务集聚，提升城市品质和服务能级，展现现代化“滨城”城市中心形象。</w:t>
                      </w:r>
                    </w:p>
                    <w:p>
                      <w:pPr>
                        <w:spacing w:line="360" w:lineRule="auto"/>
                        <w:ind w:firstLine="480" w:firstLineChars="200"/>
                        <w:rPr>
                          <w:rFonts w:eastAsia="仿宋_GB2312"/>
                          <w:sz w:val="24"/>
                        </w:rPr>
                      </w:pPr>
                      <w:r>
                        <w:rPr>
                          <w:rFonts w:eastAsia="仿宋_GB2312"/>
                          <w:sz w:val="24"/>
                        </w:rPr>
                        <w:t>2.“两副”。以大港城区、汉沽城区为核心，完善城区配套设施，增强公共服务功能，建设大港、汉沽综合性城市片区，带动南北两翼均衡发展，实现以副辅主、主副共兴。</w:t>
                      </w:r>
                    </w:p>
                    <w:p>
                      <w:pPr>
                        <w:spacing w:line="360" w:lineRule="auto"/>
                        <w:ind w:firstLine="480" w:firstLineChars="200"/>
                        <w:rPr>
                          <w:rFonts w:eastAsia="仿宋_GB2312"/>
                          <w:sz w:val="24"/>
                        </w:rPr>
                      </w:pPr>
                      <w:r>
                        <w:rPr>
                          <w:rFonts w:eastAsia="仿宋_GB2312"/>
                          <w:sz w:val="24"/>
                        </w:rPr>
                        <w:t>3.“六组团”。主要包括国际航运核心区组团、中欧产业园核心区组团、南港工业区组团、空港组团、科技城组团、油田组团。</w:t>
                      </w:r>
                    </w:p>
                  </w:txbxContent>
                </v:textbox>
                <w10:wrap type="topAndBottom"/>
              </v:shape>
            </w:pict>
          </mc:Fallback>
        </mc:AlternateContent>
      </w:r>
    </w:p>
    <w:p>
      <w:pPr>
        <w:rPr>
          <w:szCs w:val="22"/>
        </w:rPr>
      </w:pPr>
    </w:p>
    <w:p>
      <w:pPr>
        <w:spacing w:line="580" w:lineRule="exact"/>
        <w:rPr>
          <w:rFonts w:eastAsia="仿宋_GB2312"/>
          <w:bCs/>
          <w:sz w:val="32"/>
          <w:szCs w:val="32"/>
        </w:rPr>
      </w:pPr>
      <w:r>
        <w:rPr>
          <w:rFonts w:eastAsia="楷体_GB2312"/>
          <w:kern w:val="0"/>
          <w:sz w:val="32"/>
          <w:szCs w:val="32"/>
        </w:rPr>
        <w:t xml:space="preserve">    </w:t>
      </w:r>
      <w:r>
        <w:rPr>
          <w:rFonts w:eastAsia="仿宋_GB2312"/>
          <w:bCs/>
          <w:sz w:val="32"/>
          <w:szCs w:val="32"/>
        </w:rPr>
        <w:t>完善“滨城”综合服务功能，提高城市生活质量。提升滨海站、滨海西站交通枢纽地位，强化天津滨海国际机场区域航空枢纽功能，构建疏港交通与城市交通协同有序、集疏运结构合理、港城共同繁荣发展的综合交通网络体系。建立与高质量发展要求相匹配的现代化教育体系和医疗卫生服务体系，积极探索教育与医疗服务的分层供给、多元供给模式，补短板与强优势同行并进，打造教育与医疗卫生高地。以优质生活品质吸引并留住人力</w:t>
      </w:r>
      <w:r>
        <w:rPr>
          <w:rFonts w:hint="eastAsia" w:eastAsia="仿宋_GB2312"/>
          <w:bCs/>
          <w:sz w:val="32"/>
          <w:szCs w:val="32"/>
        </w:rPr>
        <w:t>资源</w:t>
      </w:r>
      <w:r>
        <w:rPr>
          <w:rFonts w:eastAsia="仿宋_GB2312"/>
          <w:bCs/>
          <w:sz w:val="32"/>
          <w:szCs w:val="32"/>
        </w:rPr>
        <w:t>，降低滨海新区与中心城区之间潮汐式的人口流动规模。</w:t>
      </w:r>
    </w:p>
    <w:p>
      <w:pPr>
        <w:spacing w:line="580" w:lineRule="exact"/>
        <w:ind w:firstLine="640" w:firstLineChars="200"/>
        <w:outlineLvl w:val="3"/>
        <w:rPr>
          <w:rFonts w:eastAsia="仿宋_GB2312"/>
          <w:bCs/>
          <w:sz w:val="32"/>
          <w:szCs w:val="32"/>
        </w:rPr>
      </w:pPr>
      <w:r>
        <w:rPr>
          <w:rFonts w:eastAsia="仿宋_GB2312"/>
          <w:bCs/>
          <w:sz w:val="32"/>
          <w:szCs w:val="32"/>
        </w:rPr>
        <w:t>加快构建现代产业体系，为城镇化提供有力支撑。推动滨海新区制造业高质量发展，提升现代服务业能级，优化重大生产力项目布局，构建以战略性新兴产业为引领、先进制造业与现代服务业双轮驱动的现代产业体系。以产业结构优化促进就业结构转型，以富有吸引力的就业机会吸引更多转移人口落户，增强人口导入能力。</w:t>
      </w:r>
    </w:p>
    <w:p>
      <w:pPr>
        <w:spacing w:line="580" w:lineRule="exact"/>
        <w:ind w:firstLine="640" w:firstLineChars="200"/>
        <w:outlineLvl w:val="3"/>
        <w:rPr>
          <w:rFonts w:hint="eastAsia" w:eastAsia="仿宋_GB2312"/>
          <w:bCs/>
          <w:sz w:val="32"/>
          <w:szCs w:val="32"/>
        </w:rPr>
      </w:pPr>
      <w:r>
        <w:rPr>
          <w:rFonts w:eastAsia="仿宋_GB2312"/>
          <w:bCs/>
          <w:sz w:val="32"/>
          <w:szCs w:val="32"/>
        </w:rPr>
        <w:t>3.优化节点地区的城乡关系，形成微循环式城镇化模式</w:t>
      </w:r>
    </w:p>
    <w:p>
      <w:pPr>
        <w:spacing w:line="580" w:lineRule="exact"/>
        <w:ind w:firstLine="640" w:firstLineChars="200"/>
        <w:outlineLvl w:val="3"/>
        <w:rPr>
          <w:rFonts w:eastAsia="仿宋_GB2312"/>
          <w:bCs/>
          <w:sz w:val="32"/>
          <w:szCs w:val="32"/>
        </w:rPr>
      </w:pPr>
      <w:r>
        <w:rPr>
          <w:rFonts w:eastAsia="仿宋_GB2312"/>
          <w:bCs/>
          <w:sz w:val="32"/>
          <w:szCs w:val="32"/>
        </w:rPr>
        <w:t>加快构建“微循环、自平衡”城镇布局。构建“老带新”、“组团式”城镇化发展布局，通过居住社区、工业园区、农业园区“三区联动”，形成内部自平衡、良性微循环机制，鼓励农业转移人口就地就近城镇化。</w:t>
      </w:r>
    </w:p>
    <w:p>
      <w:pPr>
        <w:spacing w:line="580" w:lineRule="exact"/>
        <w:ind w:firstLine="640" w:firstLineChars="200"/>
        <w:outlineLvl w:val="3"/>
        <w:rPr>
          <w:rFonts w:eastAsia="仿宋_GB2312"/>
          <w:bCs/>
          <w:sz w:val="32"/>
          <w:szCs w:val="32"/>
        </w:rPr>
      </w:pPr>
      <w:r>
        <w:rPr>
          <w:rFonts w:eastAsia="仿宋_GB2312"/>
          <w:bCs/>
          <w:sz w:val="32"/>
          <w:szCs w:val="32"/>
        </w:rPr>
        <w:t>准确把握特色小镇发展方向。对特色小镇整合提升与新创并举，</w:t>
      </w:r>
      <w:r>
        <w:rPr>
          <w:rFonts w:eastAsia="仿宋_GB2312"/>
          <w:sz w:val="32"/>
          <w:szCs w:val="32"/>
        </w:rPr>
        <w:t>推进一批特色小镇的创建培育，</w:t>
      </w:r>
      <w:r>
        <w:rPr>
          <w:rFonts w:eastAsia="仿宋_GB2312"/>
          <w:sz w:val="32"/>
          <w:szCs w:val="32"/>
          <w:lang w:val="en"/>
        </w:rPr>
        <w:t>不设创建数量指标、不搞强制创建。</w:t>
      </w:r>
      <w:r>
        <w:rPr>
          <w:rFonts w:eastAsia="仿宋_GB2312"/>
          <w:bCs/>
          <w:sz w:val="32"/>
          <w:szCs w:val="32"/>
        </w:rPr>
        <w:t>以微型产业集聚区为空间单元培育发展</w:t>
      </w:r>
      <w:r>
        <w:rPr>
          <w:rFonts w:hint="eastAsia" w:eastAsia="仿宋_GB2312"/>
          <w:bCs/>
          <w:sz w:val="32"/>
          <w:szCs w:val="32"/>
        </w:rPr>
        <w:t>特色小镇</w:t>
      </w:r>
      <w:r>
        <w:rPr>
          <w:rFonts w:eastAsia="仿宋_GB2312"/>
          <w:bCs/>
          <w:sz w:val="32"/>
          <w:szCs w:val="32"/>
        </w:rPr>
        <w:t>，科学规划区位布局，优先围绕“津城”和“滨城”及周边区位、京津冀发展战略优势区位进行培育发展，同时兼顾其他有条件区域发展特色小镇。聚焦行业细分门类，科学定位特色小镇主导产业。围绕新动能引育，打造智能科技、生物医药、新能源、新材料等为主导产业的特色小镇；围绕建设北方国际航运枢纽和北方会展中心城市，打造以物流配送、冷链仓储、商品集散为主导行业的特色小镇；围绕我市现有乡村产业优势，打造以地方特色产业为主导行业的特色小镇；围绕海洋、海河、大运河、盘山等地域优势，打造以文化旅游、创意设计为主导行业的特色小镇。注重生态环境保护，强调空间形态和风貌管控，尊重原有自然格局，体现地形地貌等地域特征，强化风貌整体性和文脉延续性，形成一镇一韵、一镇一品、一镇一特色。</w:t>
      </w:r>
    </w:p>
    <w:p>
      <w:pPr>
        <w:rPr>
          <w:rFonts w:eastAsia="文星仿宋"/>
          <w:sz w:val="32"/>
          <w:szCs w:val="22"/>
        </w:rPr>
      </w:pPr>
    </w:p>
    <w:tbl>
      <w:tblPr>
        <w:tblStyle w:val="2"/>
        <w:tblW w:w="5000" w:type="pct"/>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autofit"/>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1238" w:hRule="atLeast"/>
        </w:trPr>
        <w:tc>
          <w:tcPr>
            <w:tcW w:w="5000" w:type="pct"/>
            <w:noWrap w:val="0"/>
            <w:vAlign w:val="top"/>
          </w:tcPr>
          <w:p>
            <w:pPr>
              <w:spacing w:line="240" w:lineRule="atLeast"/>
              <w:jc w:val="center"/>
              <w:rPr>
                <w:rFonts w:eastAsia="楷体"/>
                <w:b/>
                <w:bCs/>
                <w:sz w:val="28"/>
                <w:szCs w:val="32"/>
              </w:rPr>
            </w:pPr>
          </w:p>
          <w:p>
            <w:pPr>
              <w:spacing w:line="240" w:lineRule="atLeast"/>
              <w:jc w:val="center"/>
              <w:rPr>
                <w:rFonts w:eastAsia="楷体"/>
                <w:b/>
                <w:bCs/>
                <w:sz w:val="28"/>
                <w:szCs w:val="32"/>
              </w:rPr>
            </w:pPr>
            <w:r>
              <w:rPr>
                <w:rFonts w:eastAsia="楷体"/>
                <w:b/>
                <w:bCs/>
                <w:sz w:val="28"/>
                <w:szCs w:val="32"/>
              </w:rPr>
              <w:t>专栏3 特色小镇</w:t>
            </w:r>
          </w:p>
          <w:tbl>
            <w:tblPr>
              <w:tblStyle w:val="2"/>
              <w:tblW w:w="7514" w:type="dxa"/>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autofit"/>
              <w:tblCellMar>
                <w:top w:w="0" w:type="dxa"/>
                <w:left w:w="28" w:type="dxa"/>
                <w:bottom w:w="0" w:type="dxa"/>
                <w:right w:w="28" w:type="dxa"/>
              </w:tblCellMar>
            </w:tblPr>
            <w:tblGrid>
              <w:gridCol w:w="2720"/>
              <w:gridCol w:w="2441"/>
              <w:gridCol w:w="2353"/>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624" w:hRule="atLeast"/>
                <w:jc w:val="center"/>
              </w:trPr>
              <w:tc>
                <w:tcPr>
                  <w:tcW w:w="2720" w:type="dxa"/>
                  <w:noWrap/>
                  <w:vAlign w:val="center"/>
                </w:tcPr>
                <w:p>
                  <w:pPr>
                    <w:widowControl/>
                    <w:spacing w:line="240" w:lineRule="atLeast"/>
                    <w:jc w:val="center"/>
                    <w:rPr>
                      <w:rFonts w:eastAsia="仿宋"/>
                      <w:b/>
                      <w:bCs/>
                      <w:kern w:val="0"/>
                      <w:sz w:val="24"/>
                      <w:szCs w:val="24"/>
                    </w:rPr>
                  </w:pPr>
                  <w:r>
                    <w:rPr>
                      <w:rFonts w:eastAsia="仿宋"/>
                      <w:b/>
                      <w:bCs/>
                      <w:kern w:val="0"/>
                      <w:sz w:val="24"/>
                      <w:szCs w:val="24"/>
                    </w:rPr>
                    <w:t>小镇名称</w:t>
                  </w:r>
                </w:p>
              </w:tc>
              <w:tc>
                <w:tcPr>
                  <w:tcW w:w="2441" w:type="dxa"/>
                  <w:noWrap/>
                  <w:vAlign w:val="center"/>
                </w:tcPr>
                <w:p>
                  <w:pPr>
                    <w:widowControl/>
                    <w:spacing w:line="240" w:lineRule="atLeast"/>
                    <w:jc w:val="center"/>
                    <w:rPr>
                      <w:rFonts w:eastAsia="仿宋"/>
                      <w:b/>
                      <w:bCs/>
                      <w:kern w:val="0"/>
                      <w:sz w:val="24"/>
                      <w:szCs w:val="24"/>
                    </w:rPr>
                  </w:pPr>
                  <w:r>
                    <w:rPr>
                      <w:rFonts w:eastAsia="仿宋"/>
                      <w:b/>
                      <w:bCs/>
                      <w:kern w:val="0"/>
                      <w:sz w:val="24"/>
                      <w:szCs w:val="24"/>
                    </w:rPr>
                    <w:t>产业特色</w:t>
                  </w:r>
                </w:p>
              </w:tc>
              <w:tc>
                <w:tcPr>
                  <w:tcW w:w="2353" w:type="dxa"/>
                  <w:noWrap/>
                  <w:vAlign w:val="center"/>
                </w:tcPr>
                <w:p>
                  <w:pPr>
                    <w:widowControl/>
                    <w:spacing w:line="240" w:lineRule="atLeast"/>
                    <w:jc w:val="center"/>
                    <w:rPr>
                      <w:rFonts w:eastAsia="仿宋"/>
                      <w:b/>
                      <w:bCs/>
                      <w:kern w:val="0"/>
                      <w:sz w:val="24"/>
                      <w:szCs w:val="24"/>
                      <w:lang w:val="en"/>
                    </w:rPr>
                  </w:pPr>
                  <w:r>
                    <w:rPr>
                      <w:rFonts w:eastAsia="仿宋"/>
                      <w:b/>
                      <w:bCs/>
                      <w:kern w:val="0"/>
                      <w:sz w:val="24"/>
                      <w:szCs w:val="24"/>
                    </w:rPr>
                    <w:t>坐落地点</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624" w:hRule="atLeast"/>
                <w:jc w:val="center"/>
              </w:trPr>
              <w:tc>
                <w:tcPr>
                  <w:tcW w:w="2720" w:type="dxa"/>
                  <w:noWrap/>
                  <w:vAlign w:val="center"/>
                </w:tcPr>
                <w:p>
                  <w:pPr>
                    <w:widowControl/>
                    <w:spacing w:line="240" w:lineRule="atLeast"/>
                    <w:rPr>
                      <w:rFonts w:eastAsia="仿宋"/>
                      <w:kern w:val="0"/>
                      <w:sz w:val="24"/>
                      <w:szCs w:val="24"/>
                    </w:rPr>
                  </w:pPr>
                  <w:r>
                    <w:rPr>
                      <w:rFonts w:eastAsia="仿宋"/>
                      <w:kern w:val="0"/>
                      <w:sz w:val="24"/>
                      <w:szCs w:val="24"/>
                    </w:rPr>
                    <w:t>中东欧特色小镇</w:t>
                  </w:r>
                </w:p>
              </w:tc>
              <w:tc>
                <w:tcPr>
                  <w:tcW w:w="2441" w:type="dxa"/>
                  <w:noWrap/>
                  <w:vAlign w:val="center"/>
                </w:tcPr>
                <w:p>
                  <w:pPr>
                    <w:widowControl/>
                    <w:spacing w:line="240" w:lineRule="atLeast"/>
                    <w:rPr>
                      <w:rFonts w:eastAsia="仿宋"/>
                      <w:kern w:val="0"/>
                      <w:sz w:val="24"/>
                      <w:szCs w:val="24"/>
                    </w:rPr>
                  </w:pPr>
                  <w:r>
                    <w:rPr>
                      <w:rFonts w:eastAsia="仿宋"/>
                      <w:kern w:val="0"/>
                      <w:sz w:val="24"/>
                      <w:szCs w:val="24"/>
                    </w:rPr>
                    <w:t>大健康产业、红酒特色产业</w:t>
                  </w:r>
                </w:p>
              </w:tc>
              <w:tc>
                <w:tcPr>
                  <w:tcW w:w="2353" w:type="dxa"/>
                  <w:noWrap/>
                  <w:vAlign w:val="center"/>
                </w:tcPr>
                <w:p>
                  <w:pPr>
                    <w:widowControl/>
                    <w:spacing w:line="240" w:lineRule="atLeast"/>
                    <w:rPr>
                      <w:rFonts w:eastAsia="仿宋"/>
                      <w:kern w:val="0"/>
                      <w:sz w:val="24"/>
                      <w:szCs w:val="24"/>
                    </w:rPr>
                  </w:pPr>
                  <w:r>
                    <w:rPr>
                      <w:rFonts w:eastAsia="仿宋"/>
                      <w:kern w:val="0"/>
                      <w:sz w:val="24"/>
                      <w:szCs w:val="24"/>
                    </w:rPr>
                    <w:t>北辰小淀镇</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624" w:hRule="atLeast"/>
                <w:jc w:val="center"/>
              </w:trPr>
              <w:tc>
                <w:tcPr>
                  <w:tcW w:w="2720" w:type="dxa"/>
                  <w:noWrap/>
                  <w:vAlign w:val="center"/>
                </w:tcPr>
                <w:p>
                  <w:pPr>
                    <w:widowControl/>
                    <w:spacing w:line="240" w:lineRule="atLeast"/>
                    <w:rPr>
                      <w:rFonts w:eastAsia="仿宋"/>
                      <w:kern w:val="0"/>
                      <w:sz w:val="24"/>
                      <w:szCs w:val="24"/>
                    </w:rPr>
                  </w:pPr>
                  <w:r>
                    <w:rPr>
                      <w:rFonts w:eastAsia="仿宋"/>
                      <w:kern w:val="0"/>
                      <w:sz w:val="24"/>
                      <w:szCs w:val="24"/>
                    </w:rPr>
                    <w:t>小站稻耕文化特色小镇</w:t>
                  </w:r>
                </w:p>
              </w:tc>
              <w:tc>
                <w:tcPr>
                  <w:tcW w:w="2441" w:type="dxa"/>
                  <w:noWrap/>
                  <w:vAlign w:val="center"/>
                </w:tcPr>
                <w:p>
                  <w:pPr>
                    <w:widowControl/>
                    <w:spacing w:line="240" w:lineRule="atLeast"/>
                    <w:rPr>
                      <w:rFonts w:eastAsia="仿宋"/>
                      <w:kern w:val="0"/>
                      <w:sz w:val="24"/>
                      <w:szCs w:val="24"/>
                    </w:rPr>
                  </w:pPr>
                  <w:r>
                    <w:rPr>
                      <w:rFonts w:eastAsia="仿宋"/>
                      <w:kern w:val="0"/>
                      <w:sz w:val="24"/>
                      <w:szCs w:val="24"/>
                    </w:rPr>
                    <w:t>特色农产品小站稻</w:t>
                  </w:r>
                </w:p>
              </w:tc>
              <w:tc>
                <w:tcPr>
                  <w:tcW w:w="2353" w:type="dxa"/>
                  <w:noWrap/>
                  <w:vAlign w:val="center"/>
                </w:tcPr>
                <w:p>
                  <w:pPr>
                    <w:widowControl/>
                    <w:spacing w:line="240" w:lineRule="atLeast"/>
                    <w:rPr>
                      <w:rFonts w:eastAsia="仿宋"/>
                      <w:kern w:val="0"/>
                      <w:sz w:val="24"/>
                      <w:szCs w:val="24"/>
                    </w:rPr>
                  </w:pPr>
                  <w:r>
                    <w:rPr>
                      <w:rFonts w:eastAsia="仿宋"/>
                      <w:kern w:val="0"/>
                      <w:sz w:val="24"/>
                      <w:szCs w:val="24"/>
                    </w:rPr>
                    <w:t>津南小站镇</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624" w:hRule="atLeast"/>
                <w:jc w:val="center"/>
              </w:trPr>
              <w:tc>
                <w:tcPr>
                  <w:tcW w:w="2720" w:type="dxa"/>
                  <w:noWrap/>
                  <w:vAlign w:val="center"/>
                </w:tcPr>
                <w:p>
                  <w:pPr>
                    <w:widowControl/>
                    <w:spacing w:line="240" w:lineRule="atLeast"/>
                    <w:rPr>
                      <w:rFonts w:eastAsia="仿宋"/>
                      <w:kern w:val="0"/>
                      <w:sz w:val="24"/>
                      <w:szCs w:val="24"/>
                    </w:rPr>
                  </w:pPr>
                  <w:r>
                    <w:rPr>
                      <w:rFonts w:eastAsia="仿宋"/>
                      <w:kern w:val="0"/>
                      <w:sz w:val="24"/>
                      <w:szCs w:val="24"/>
                    </w:rPr>
                    <w:t>杨柳青文化旅游特色小镇</w:t>
                  </w:r>
                </w:p>
              </w:tc>
              <w:tc>
                <w:tcPr>
                  <w:tcW w:w="2441" w:type="dxa"/>
                  <w:noWrap/>
                  <w:vAlign w:val="center"/>
                </w:tcPr>
                <w:p>
                  <w:pPr>
                    <w:widowControl/>
                    <w:spacing w:line="240" w:lineRule="atLeast"/>
                    <w:rPr>
                      <w:rFonts w:eastAsia="仿宋"/>
                      <w:kern w:val="0"/>
                      <w:sz w:val="24"/>
                      <w:szCs w:val="24"/>
                    </w:rPr>
                  </w:pPr>
                  <w:r>
                    <w:rPr>
                      <w:rFonts w:eastAsia="仿宋"/>
                      <w:kern w:val="0"/>
                      <w:sz w:val="24"/>
                      <w:szCs w:val="24"/>
                    </w:rPr>
                    <w:t>文化旅游</w:t>
                  </w:r>
                </w:p>
              </w:tc>
              <w:tc>
                <w:tcPr>
                  <w:tcW w:w="2353" w:type="dxa"/>
                  <w:noWrap/>
                  <w:vAlign w:val="center"/>
                </w:tcPr>
                <w:p>
                  <w:pPr>
                    <w:widowControl/>
                    <w:spacing w:line="240" w:lineRule="atLeast"/>
                    <w:rPr>
                      <w:rFonts w:eastAsia="仿宋"/>
                      <w:kern w:val="0"/>
                      <w:sz w:val="24"/>
                      <w:szCs w:val="24"/>
                    </w:rPr>
                  </w:pPr>
                  <w:r>
                    <w:rPr>
                      <w:rFonts w:eastAsia="仿宋"/>
                      <w:kern w:val="0"/>
                      <w:sz w:val="24"/>
                      <w:szCs w:val="24"/>
                    </w:rPr>
                    <w:t>西青杨柳青镇</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624" w:hRule="atLeast"/>
                <w:jc w:val="center"/>
              </w:trPr>
              <w:tc>
                <w:tcPr>
                  <w:tcW w:w="2720" w:type="dxa"/>
                  <w:noWrap/>
                  <w:vAlign w:val="center"/>
                </w:tcPr>
                <w:p>
                  <w:pPr>
                    <w:widowControl/>
                    <w:spacing w:line="240" w:lineRule="atLeast"/>
                    <w:rPr>
                      <w:rFonts w:eastAsia="仿宋"/>
                      <w:kern w:val="0"/>
                      <w:sz w:val="24"/>
                      <w:szCs w:val="24"/>
                    </w:rPr>
                  </w:pPr>
                  <w:r>
                    <w:rPr>
                      <w:rFonts w:eastAsia="仿宋"/>
                      <w:kern w:val="0"/>
                      <w:sz w:val="24"/>
                      <w:szCs w:val="24"/>
                    </w:rPr>
                    <w:t>下营体育健康特色小镇</w:t>
                  </w:r>
                </w:p>
              </w:tc>
              <w:tc>
                <w:tcPr>
                  <w:tcW w:w="2441" w:type="dxa"/>
                  <w:noWrap/>
                  <w:vAlign w:val="center"/>
                </w:tcPr>
                <w:p>
                  <w:pPr>
                    <w:widowControl/>
                    <w:spacing w:line="240" w:lineRule="atLeast"/>
                    <w:rPr>
                      <w:rFonts w:eastAsia="仿宋"/>
                      <w:kern w:val="0"/>
                      <w:sz w:val="24"/>
                      <w:szCs w:val="24"/>
                    </w:rPr>
                  </w:pPr>
                  <w:r>
                    <w:rPr>
                      <w:rFonts w:eastAsia="仿宋"/>
                      <w:kern w:val="0"/>
                      <w:sz w:val="24"/>
                      <w:szCs w:val="24"/>
                    </w:rPr>
                    <w:t>体育旅游</w:t>
                  </w:r>
                </w:p>
              </w:tc>
              <w:tc>
                <w:tcPr>
                  <w:tcW w:w="2353" w:type="dxa"/>
                  <w:noWrap/>
                  <w:vAlign w:val="center"/>
                </w:tcPr>
                <w:p>
                  <w:pPr>
                    <w:widowControl/>
                    <w:spacing w:line="240" w:lineRule="atLeast"/>
                    <w:rPr>
                      <w:rFonts w:eastAsia="仿宋"/>
                      <w:kern w:val="0"/>
                      <w:sz w:val="24"/>
                      <w:szCs w:val="24"/>
                    </w:rPr>
                  </w:pPr>
                  <w:r>
                    <w:rPr>
                      <w:rFonts w:eastAsia="仿宋"/>
                      <w:kern w:val="0"/>
                      <w:sz w:val="24"/>
                      <w:szCs w:val="24"/>
                    </w:rPr>
                    <w:t>蓟州下营镇</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624" w:hRule="atLeast"/>
                <w:jc w:val="center"/>
              </w:trPr>
              <w:tc>
                <w:tcPr>
                  <w:tcW w:w="2720" w:type="dxa"/>
                  <w:noWrap/>
                  <w:vAlign w:val="center"/>
                </w:tcPr>
                <w:p>
                  <w:pPr>
                    <w:widowControl/>
                    <w:spacing w:line="240" w:lineRule="atLeast"/>
                    <w:rPr>
                      <w:rFonts w:eastAsia="仿宋"/>
                      <w:kern w:val="0"/>
                      <w:sz w:val="24"/>
                      <w:szCs w:val="24"/>
                    </w:rPr>
                  </w:pPr>
                  <w:r>
                    <w:rPr>
                      <w:rFonts w:eastAsia="仿宋"/>
                      <w:kern w:val="0"/>
                      <w:sz w:val="24"/>
                      <w:szCs w:val="24"/>
                    </w:rPr>
                    <w:t>出头岭镇特色小镇</w:t>
                  </w:r>
                </w:p>
              </w:tc>
              <w:tc>
                <w:tcPr>
                  <w:tcW w:w="2441" w:type="dxa"/>
                  <w:noWrap/>
                  <w:vAlign w:val="center"/>
                </w:tcPr>
                <w:p>
                  <w:pPr>
                    <w:widowControl/>
                    <w:spacing w:line="240" w:lineRule="atLeast"/>
                    <w:rPr>
                      <w:rFonts w:eastAsia="仿宋"/>
                      <w:kern w:val="0"/>
                      <w:sz w:val="24"/>
                      <w:szCs w:val="24"/>
                    </w:rPr>
                  </w:pPr>
                  <w:r>
                    <w:rPr>
                      <w:rFonts w:eastAsia="仿宋"/>
                      <w:kern w:val="0"/>
                      <w:sz w:val="24"/>
                      <w:szCs w:val="24"/>
                    </w:rPr>
                    <w:t>特色农产品食用菌</w:t>
                  </w:r>
                </w:p>
              </w:tc>
              <w:tc>
                <w:tcPr>
                  <w:tcW w:w="2353" w:type="dxa"/>
                  <w:noWrap/>
                  <w:vAlign w:val="center"/>
                </w:tcPr>
                <w:p>
                  <w:pPr>
                    <w:widowControl/>
                    <w:spacing w:line="240" w:lineRule="atLeast"/>
                    <w:rPr>
                      <w:rFonts w:eastAsia="仿宋"/>
                      <w:kern w:val="0"/>
                      <w:sz w:val="24"/>
                      <w:szCs w:val="24"/>
                    </w:rPr>
                  </w:pPr>
                  <w:r>
                    <w:rPr>
                      <w:rFonts w:eastAsia="仿宋"/>
                      <w:kern w:val="0"/>
                      <w:sz w:val="24"/>
                      <w:szCs w:val="24"/>
                    </w:rPr>
                    <w:t>蓟州出头岭镇</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624" w:hRule="atLeast"/>
                <w:jc w:val="center"/>
              </w:trPr>
              <w:tc>
                <w:tcPr>
                  <w:tcW w:w="2720" w:type="dxa"/>
                  <w:noWrap/>
                  <w:vAlign w:val="center"/>
                </w:tcPr>
                <w:p>
                  <w:pPr>
                    <w:widowControl/>
                    <w:spacing w:line="240" w:lineRule="atLeast"/>
                    <w:rPr>
                      <w:rFonts w:eastAsia="仿宋"/>
                      <w:kern w:val="0"/>
                      <w:sz w:val="24"/>
                      <w:szCs w:val="24"/>
                    </w:rPr>
                  </w:pPr>
                  <w:r>
                    <w:rPr>
                      <w:rFonts w:eastAsia="仿宋"/>
                      <w:kern w:val="0"/>
                      <w:sz w:val="24"/>
                      <w:szCs w:val="24"/>
                    </w:rPr>
                    <w:t>沙沃萝卜特色小镇</w:t>
                  </w:r>
                </w:p>
              </w:tc>
              <w:tc>
                <w:tcPr>
                  <w:tcW w:w="2441" w:type="dxa"/>
                  <w:noWrap/>
                  <w:vAlign w:val="center"/>
                </w:tcPr>
                <w:p>
                  <w:pPr>
                    <w:widowControl/>
                    <w:spacing w:line="240" w:lineRule="atLeast"/>
                    <w:rPr>
                      <w:rFonts w:eastAsia="仿宋"/>
                      <w:kern w:val="0"/>
                      <w:sz w:val="24"/>
                      <w:szCs w:val="24"/>
                    </w:rPr>
                  </w:pPr>
                  <w:r>
                    <w:rPr>
                      <w:rFonts w:eastAsia="仿宋"/>
                      <w:kern w:val="0"/>
                      <w:sz w:val="24"/>
                      <w:szCs w:val="24"/>
                    </w:rPr>
                    <w:t>特色农产品沙窝萝卜</w:t>
                  </w:r>
                </w:p>
              </w:tc>
              <w:tc>
                <w:tcPr>
                  <w:tcW w:w="2353" w:type="dxa"/>
                  <w:noWrap/>
                  <w:vAlign w:val="center"/>
                </w:tcPr>
                <w:p>
                  <w:pPr>
                    <w:widowControl/>
                    <w:spacing w:line="240" w:lineRule="atLeast"/>
                    <w:rPr>
                      <w:rFonts w:eastAsia="仿宋"/>
                      <w:kern w:val="0"/>
                      <w:sz w:val="24"/>
                      <w:szCs w:val="24"/>
                    </w:rPr>
                  </w:pPr>
                  <w:r>
                    <w:rPr>
                      <w:rFonts w:eastAsia="仿宋"/>
                      <w:kern w:val="0"/>
                      <w:sz w:val="24"/>
                      <w:szCs w:val="24"/>
                    </w:rPr>
                    <w:t>西青辛口镇</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624" w:hRule="atLeast"/>
                <w:jc w:val="center"/>
              </w:trPr>
              <w:tc>
                <w:tcPr>
                  <w:tcW w:w="2720" w:type="dxa"/>
                  <w:noWrap/>
                  <w:vAlign w:val="center"/>
                </w:tcPr>
                <w:p>
                  <w:pPr>
                    <w:widowControl/>
                    <w:spacing w:line="240" w:lineRule="atLeast"/>
                    <w:rPr>
                      <w:rFonts w:eastAsia="仿宋"/>
                      <w:kern w:val="0"/>
                      <w:sz w:val="24"/>
                      <w:szCs w:val="24"/>
                    </w:rPr>
                  </w:pPr>
                  <w:r>
                    <w:rPr>
                      <w:rFonts w:eastAsia="仿宋"/>
                      <w:kern w:val="0"/>
                      <w:sz w:val="24"/>
                      <w:szCs w:val="24"/>
                    </w:rPr>
                    <w:t>伊甸园特色小镇</w:t>
                  </w:r>
                </w:p>
              </w:tc>
              <w:tc>
                <w:tcPr>
                  <w:tcW w:w="2441" w:type="dxa"/>
                  <w:noWrap/>
                  <w:vAlign w:val="center"/>
                </w:tcPr>
                <w:p>
                  <w:pPr>
                    <w:widowControl/>
                    <w:spacing w:line="240" w:lineRule="atLeast"/>
                    <w:rPr>
                      <w:rFonts w:eastAsia="仿宋"/>
                      <w:kern w:val="0"/>
                      <w:sz w:val="24"/>
                      <w:szCs w:val="24"/>
                    </w:rPr>
                  </w:pPr>
                  <w:r>
                    <w:rPr>
                      <w:rFonts w:eastAsia="仿宋"/>
                      <w:kern w:val="0"/>
                      <w:sz w:val="24"/>
                      <w:szCs w:val="24"/>
                    </w:rPr>
                    <w:t>知识经济产业、生态自然教育产业</w:t>
                  </w:r>
                </w:p>
              </w:tc>
              <w:tc>
                <w:tcPr>
                  <w:tcW w:w="2353" w:type="dxa"/>
                  <w:noWrap/>
                  <w:vAlign w:val="center"/>
                </w:tcPr>
                <w:p>
                  <w:pPr>
                    <w:widowControl/>
                    <w:spacing w:line="240" w:lineRule="atLeast"/>
                    <w:rPr>
                      <w:rFonts w:eastAsia="仿宋"/>
                      <w:kern w:val="0"/>
                      <w:sz w:val="24"/>
                      <w:szCs w:val="24"/>
                    </w:rPr>
                  </w:pPr>
                  <w:r>
                    <w:rPr>
                      <w:rFonts w:eastAsia="仿宋"/>
                      <w:kern w:val="0"/>
                      <w:sz w:val="24"/>
                      <w:szCs w:val="24"/>
                    </w:rPr>
                    <w:t>蓟州官庄镇</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624" w:hRule="atLeast"/>
                <w:jc w:val="center"/>
              </w:trPr>
              <w:tc>
                <w:tcPr>
                  <w:tcW w:w="2720" w:type="dxa"/>
                  <w:noWrap/>
                  <w:vAlign w:val="center"/>
                </w:tcPr>
                <w:p>
                  <w:pPr>
                    <w:widowControl/>
                    <w:spacing w:line="240" w:lineRule="atLeast"/>
                    <w:rPr>
                      <w:rFonts w:eastAsia="仿宋"/>
                      <w:kern w:val="0"/>
                      <w:sz w:val="24"/>
                      <w:szCs w:val="24"/>
                    </w:rPr>
                  </w:pPr>
                  <w:r>
                    <w:rPr>
                      <w:rFonts w:eastAsia="仿宋"/>
                      <w:kern w:val="0"/>
                      <w:sz w:val="24"/>
                      <w:szCs w:val="24"/>
                    </w:rPr>
                    <w:t>崔黄口电商特色小镇</w:t>
                  </w:r>
                </w:p>
              </w:tc>
              <w:tc>
                <w:tcPr>
                  <w:tcW w:w="2441" w:type="dxa"/>
                  <w:noWrap/>
                  <w:vAlign w:val="center"/>
                </w:tcPr>
                <w:p>
                  <w:pPr>
                    <w:widowControl/>
                    <w:spacing w:line="240" w:lineRule="atLeast"/>
                    <w:rPr>
                      <w:rFonts w:eastAsia="仿宋"/>
                      <w:kern w:val="0"/>
                      <w:sz w:val="24"/>
                      <w:szCs w:val="24"/>
                    </w:rPr>
                  </w:pPr>
                  <w:r>
                    <w:rPr>
                      <w:rFonts w:eastAsia="仿宋"/>
                      <w:kern w:val="0"/>
                      <w:sz w:val="24"/>
                      <w:szCs w:val="24"/>
                    </w:rPr>
                    <w:t>电子商务</w:t>
                  </w:r>
                </w:p>
              </w:tc>
              <w:tc>
                <w:tcPr>
                  <w:tcW w:w="2353" w:type="dxa"/>
                  <w:noWrap/>
                  <w:vAlign w:val="center"/>
                </w:tcPr>
                <w:p>
                  <w:pPr>
                    <w:widowControl/>
                    <w:spacing w:line="240" w:lineRule="atLeast"/>
                    <w:rPr>
                      <w:rFonts w:eastAsia="仿宋"/>
                      <w:kern w:val="0"/>
                      <w:sz w:val="24"/>
                      <w:szCs w:val="24"/>
                    </w:rPr>
                  </w:pPr>
                  <w:r>
                    <w:rPr>
                      <w:rFonts w:eastAsia="仿宋"/>
                      <w:kern w:val="0"/>
                      <w:sz w:val="24"/>
                      <w:szCs w:val="24"/>
                    </w:rPr>
                    <w:t>武清崔黄口镇</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624" w:hRule="atLeast"/>
                <w:jc w:val="center"/>
              </w:trPr>
              <w:tc>
                <w:tcPr>
                  <w:tcW w:w="2720" w:type="dxa"/>
                  <w:noWrap/>
                  <w:vAlign w:val="center"/>
                </w:tcPr>
                <w:p>
                  <w:pPr>
                    <w:widowControl/>
                    <w:spacing w:line="240" w:lineRule="atLeast"/>
                    <w:rPr>
                      <w:rFonts w:eastAsia="仿宋"/>
                      <w:kern w:val="0"/>
                      <w:sz w:val="24"/>
                      <w:szCs w:val="24"/>
                    </w:rPr>
                  </w:pPr>
                  <w:r>
                    <w:rPr>
                      <w:rFonts w:eastAsia="仿宋"/>
                      <w:kern w:val="0"/>
                      <w:sz w:val="24"/>
                      <w:szCs w:val="24"/>
                    </w:rPr>
                    <w:t>板桥甑乡特色小镇</w:t>
                  </w:r>
                </w:p>
              </w:tc>
              <w:tc>
                <w:tcPr>
                  <w:tcW w:w="2441" w:type="dxa"/>
                  <w:noWrap/>
                  <w:vAlign w:val="center"/>
                </w:tcPr>
                <w:p>
                  <w:pPr>
                    <w:widowControl/>
                    <w:spacing w:line="240" w:lineRule="atLeast"/>
                    <w:rPr>
                      <w:rFonts w:eastAsia="仿宋"/>
                      <w:kern w:val="0"/>
                      <w:sz w:val="24"/>
                      <w:szCs w:val="24"/>
                    </w:rPr>
                  </w:pPr>
                  <w:r>
                    <w:rPr>
                      <w:rFonts w:eastAsia="仿宋"/>
                      <w:kern w:val="0"/>
                      <w:sz w:val="24"/>
                      <w:szCs w:val="24"/>
                    </w:rPr>
                    <w:t>文化休闲旅游度假</w:t>
                  </w:r>
                </w:p>
              </w:tc>
              <w:tc>
                <w:tcPr>
                  <w:tcW w:w="2353" w:type="dxa"/>
                  <w:noWrap/>
                  <w:vAlign w:val="center"/>
                </w:tcPr>
                <w:p>
                  <w:pPr>
                    <w:widowControl/>
                    <w:spacing w:line="240" w:lineRule="atLeast"/>
                    <w:rPr>
                      <w:rFonts w:eastAsia="仿宋"/>
                      <w:kern w:val="0"/>
                      <w:sz w:val="24"/>
                      <w:szCs w:val="24"/>
                    </w:rPr>
                  </w:pPr>
                  <w:r>
                    <w:rPr>
                      <w:rFonts w:eastAsia="仿宋"/>
                      <w:kern w:val="0"/>
                      <w:sz w:val="24"/>
                      <w:szCs w:val="24"/>
                    </w:rPr>
                    <w:t>宁河区板桥镇</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624" w:hRule="atLeast"/>
                <w:jc w:val="center"/>
              </w:trPr>
              <w:tc>
                <w:tcPr>
                  <w:tcW w:w="2720" w:type="dxa"/>
                  <w:noWrap/>
                  <w:vAlign w:val="center"/>
                </w:tcPr>
                <w:p>
                  <w:pPr>
                    <w:widowControl/>
                    <w:spacing w:line="240" w:lineRule="atLeast"/>
                    <w:rPr>
                      <w:rFonts w:eastAsia="仿宋"/>
                      <w:kern w:val="0"/>
                      <w:sz w:val="24"/>
                      <w:szCs w:val="24"/>
                    </w:rPr>
                  </w:pPr>
                  <w:r>
                    <w:rPr>
                      <w:rFonts w:eastAsia="仿宋"/>
                      <w:kern w:val="0"/>
                      <w:sz w:val="24"/>
                      <w:szCs w:val="24"/>
                    </w:rPr>
                    <w:t>葛沽民俗文化小镇</w:t>
                  </w:r>
                </w:p>
              </w:tc>
              <w:tc>
                <w:tcPr>
                  <w:tcW w:w="2441" w:type="dxa"/>
                  <w:noWrap/>
                  <w:vAlign w:val="center"/>
                </w:tcPr>
                <w:p>
                  <w:pPr>
                    <w:widowControl/>
                    <w:spacing w:line="240" w:lineRule="atLeast"/>
                    <w:rPr>
                      <w:rFonts w:eastAsia="仿宋"/>
                      <w:kern w:val="0"/>
                      <w:sz w:val="24"/>
                      <w:szCs w:val="24"/>
                    </w:rPr>
                  </w:pPr>
                  <w:r>
                    <w:rPr>
                      <w:rFonts w:eastAsia="仿宋"/>
                      <w:kern w:val="0"/>
                      <w:sz w:val="24"/>
                      <w:szCs w:val="24"/>
                    </w:rPr>
                    <w:t>民俗文化旅游</w:t>
                  </w:r>
                </w:p>
              </w:tc>
              <w:tc>
                <w:tcPr>
                  <w:tcW w:w="2353" w:type="dxa"/>
                  <w:noWrap/>
                  <w:vAlign w:val="center"/>
                </w:tcPr>
                <w:p>
                  <w:pPr>
                    <w:widowControl/>
                    <w:spacing w:line="240" w:lineRule="atLeast"/>
                    <w:rPr>
                      <w:rFonts w:eastAsia="仿宋"/>
                      <w:kern w:val="0"/>
                      <w:sz w:val="24"/>
                      <w:szCs w:val="24"/>
                    </w:rPr>
                  </w:pPr>
                  <w:r>
                    <w:rPr>
                      <w:rFonts w:eastAsia="仿宋"/>
                      <w:kern w:val="0"/>
                      <w:sz w:val="24"/>
                      <w:szCs w:val="24"/>
                    </w:rPr>
                    <w:t>津南葛沽镇</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624" w:hRule="atLeast"/>
                <w:jc w:val="center"/>
              </w:trPr>
              <w:tc>
                <w:tcPr>
                  <w:tcW w:w="2720" w:type="dxa"/>
                  <w:noWrap/>
                  <w:vAlign w:val="center"/>
                </w:tcPr>
                <w:p>
                  <w:pPr>
                    <w:widowControl/>
                    <w:spacing w:line="240" w:lineRule="atLeast"/>
                    <w:rPr>
                      <w:rFonts w:eastAsia="仿宋"/>
                      <w:kern w:val="0"/>
                      <w:sz w:val="24"/>
                      <w:szCs w:val="24"/>
                      <w:lang w:val="en"/>
                    </w:rPr>
                  </w:pPr>
                  <w:r>
                    <w:rPr>
                      <w:rFonts w:eastAsia="仿宋"/>
                      <w:kern w:val="0"/>
                      <w:sz w:val="24"/>
                      <w:szCs w:val="24"/>
                      <w:lang w:val="en"/>
                    </w:rPr>
                    <w:t>中新天津生态城智慧小镇</w:t>
                  </w:r>
                </w:p>
              </w:tc>
              <w:tc>
                <w:tcPr>
                  <w:tcW w:w="2441" w:type="dxa"/>
                  <w:noWrap/>
                  <w:vAlign w:val="center"/>
                </w:tcPr>
                <w:p>
                  <w:pPr>
                    <w:widowControl/>
                    <w:spacing w:line="240" w:lineRule="atLeast"/>
                    <w:rPr>
                      <w:rFonts w:eastAsia="仿宋"/>
                      <w:kern w:val="0"/>
                      <w:sz w:val="24"/>
                      <w:szCs w:val="24"/>
                    </w:rPr>
                  </w:pPr>
                  <w:r>
                    <w:rPr>
                      <w:rFonts w:eastAsia="仿宋"/>
                      <w:kern w:val="0"/>
                      <w:sz w:val="24"/>
                      <w:szCs w:val="24"/>
                    </w:rPr>
                    <w:t>云计算、大数据的智慧智能产业</w:t>
                  </w:r>
                </w:p>
              </w:tc>
              <w:tc>
                <w:tcPr>
                  <w:tcW w:w="2353" w:type="dxa"/>
                  <w:noWrap/>
                  <w:vAlign w:val="center"/>
                </w:tcPr>
                <w:p>
                  <w:pPr>
                    <w:widowControl/>
                    <w:spacing w:line="240" w:lineRule="atLeast"/>
                    <w:rPr>
                      <w:rFonts w:eastAsia="仿宋"/>
                      <w:kern w:val="0"/>
                      <w:sz w:val="24"/>
                      <w:szCs w:val="24"/>
                    </w:rPr>
                  </w:pPr>
                  <w:r>
                    <w:rPr>
                      <w:rFonts w:eastAsia="仿宋"/>
                      <w:kern w:val="0"/>
                      <w:sz w:val="24"/>
                      <w:szCs w:val="24"/>
                    </w:rPr>
                    <w:t>滨海新区</w:t>
                  </w:r>
                  <w:r>
                    <w:rPr>
                      <w:rFonts w:eastAsia="仿宋"/>
                      <w:kern w:val="0"/>
                      <w:sz w:val="24"/>
                      <w:szCs w:val="24"/>
                      <w:lang w:val="en"/>
                    </w:rPr>
                    <w:t>中新生态城</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624" w:hRule="atLeast"/>
                <w:jc w:val="center"/>
              </w:trPr>
              <w:tc>
                <w:tcPr>
                  <w:tcW w:w="2720" w:type="dxa"/>
                  <w:noWrap/>
                  <w:vAlign w:val="center"/>
                </w:tcPr>
                <w:p>
                  <w:pPr>
                    <w:widowControl/>
                    <w:spacing w:line="240" w:lineRule="atLeast"/>
                    <w:rPr>
                      <w:rFonts w:eastAsia="仿宋"/>
                      <w:kern w:val="0"/>
                      <w:sz w:val="24"/>
                      <w:szCs w:val="24"/>
                    </w:rPr>
                  </w:pPr>
                  <w:r>
                    <w:rPr>
                      <w:rFonts w:eastAsia="仿宋"/>
                      <w:kern w:val="0"/>
                      <w:sz w:val="24"/>
                      <w:szCs w:val="24"/>
                    </w:rPr>
                    <w:t>河西务运河创业小镇</w:t>
                  </w:r>
                </w:p>
              </w:tc>
              <w:tc>
                <w:tcPr>
                  <w:tcW w:w="2441" w:type="dxa"/>
                  <w:noWrap/>
                  <w:vAlign w:val="center"/>
                </w:tcPr>
                <w:p>
                  <w:pPr>
                    <w:widowControl/>
                    <w:spacing w:line="240" w:lineRule="atLeast"/>
                    <w:rPr>
                      <w:rFonts w:eastAsia="仿宋"/>
                      <w:kern w:val="0"/>
                      <w:sz w:val="24"/>
                      <w:szCs w:val="24"/>
                    </w:rPr>
                  </w:pPr>
                  <w:r>
                    <w:rPr>
                      <w:rFonts w:eastAsia="仿宋"/>
                      <w:kern w:val="0"/>
                      <w:sz w:val="24"/>
                      <w:szCs w:val="24"/>
                    </w:rPr>
                    <w:t>现代农业、食品加工、冷链物流</w:t>
                  </w:r>
                </w:p>
              </w:tc>
              <w:tc>
                <w:tcPr>
                  <w:tcW w:w="2353" w:type="dxa"/>
                  <w:noWrap/>
                  <w:vAlign w:val="center"/>
                </w:tcPr>
                <w:p>
                  <w:pPr>
                    <w:widowControl/>
                    <w:spacing w:line="240" w:lineRule="atLeast"/>
                    <w:rPr>
                      <w:rFonts w:eastAsia="仿宋"/>
                      <w:kern w:val="0"/>
                      <w:sz w:val="24"/>
                      <w:szCs w:val="24"/>
                    </w:rPr>
                  </w:pPr>
                  <w:r>
                    <w:rPr>
                      <w:rFonts w:eastAsia="仿宋"/>
                      <w:kern w:val="0"/>
                      <w:sz w:val="24"/>
                      <w:szCs w:val="24"/>
                    </w:rPr>
                    <w:t>武清区河西务镇</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724" w:hRule="atLeast"/>
                <w:jc w:val="center"/>
              </w:trPr>
              <w:tc>
                <w:tcPr>
                  <w:tcW w:w="2720" w:type="dxa"/>
                  <w:noWrap/>
                  <w:vAlign w:val="center"/>
                </w:tcPr>
                <w:p>
                  <w:pPr>
                    <w:widowControl/>
                    <w:spacing w:line="240" w:lineRule="atLeast"/>
                    <w:rPr>
                      <w:rFonts w:eastAsia="仿宋"/>
                      <w:kern w:val="0"/>
                      <w:sz w:val="24"/>
                      <w:szCs w:val="24"/>
                    </w:rPr>
                  </w:pPr>
                  <w:r>
                    <w:rPr>
                      <w:rFonts w:eastAsia="仿宋"/>
                      <w:kern w:val="0"/>
                      <w:sz w:val="24"/>
                      <w:szCs w:val="24"/>
                    </w:rPr>
                    <w:t>赛达新城智慧服务小镇</w:t>
                  </w:r>
                </w:p>
              </w:tc>
              <w:tc>
                <w:tcPr>
                  <w:tcW w:w="2441" w:type="dxa"/>
                  <w:noWrap/>
                  <w:vAlign w:val="center"/>
                </w:tcPr>
                <w:p>
                  <w:pPr>
                    <w:widowControl/>
                    <w:spacing w:line="240" w:lineRule="atLeast"/>
                    <w:rPr>
                      <w:rFonts w:eastAsia="仿宋"/>
                      <w:kern w:val="0"/>
                      <w:sz w:val="24"/>
                      <w:szCs w:val="24"/>
                    </w:rPr>
                  </w:pPr>
                  <w:r>
                    <w:rPr>
                      <w:rFonts w:eastAsia="仿宋"/>
                      <w:kern w:val="0"/>
                      <w:sz w:val="24"/>
                      <w:szCs w:val="24"/>
                    </w:rPr>
                    <w:t>智能网联、智慧服务、激光半导体</w:t>
                  </w:r>
                </w:p>
              </w:tc>
              <w:tc>
                <w:tcPr>
                  <w:tcW w:w="2353" w:type="dxa"/>
                  <w:noWrap/>
                  <w:vAlign w:val="center"/>
                </w:tcPr>
                <w:p>
                  <w:pPr>
                    <w:widowControl/>
                    <w:spacing w:line="240" w:lineRule="atLeast"/>
                    <w:rPr>
                      <w:rFonts w:eastAsia="仿宋"/>
                      <w:kern w:val="0"/>
                      <w:sz w:val="24"/>
                      <w:szCs w:val="24"/>
                    </w:rPr>
                  </w:pPr>
                  <w:r>
                    <w:rPr>
                      <w:rFonts w:eastAsia="仿宋"/>
                      <w:kern w:val="0"/>
                      <w:sz w:val="24"/>
                      <w:szCs w:val="24"/>
                    </w:rPr>
                    <w:t>西青区赛达新城</w:t>
                  </w:r>
                </w:p>
              </w:tc>
            </w:tr>
          </w:tbl>
          <w:p>
            <w:pPr>
              <w:spacing w:line="240" w:lineRule="atLeast"/>
              <w:rPr>
                <w:rFonts w:eastAsia="仿宋"/>
                <w:bCs/>
                <w:sz w:val="20"/>
                <w:szCs w:val="32"/>
              </w:rPr>
            </w:pPr>
          </w:p>
        </w:tc>
      </w:tr>
    </w:tbl>
    <w:p>
      <w:pPr>
        <w:spacing w:line="580" w:lineRule="exact"/>
        <w:ind w:firstLine="640" w:firstLineChars="200"/>
        <w:outlineLvl w:val="3"/>
        <w:rPr>
          <w:rFonts w:eastAsia="仿宋_GB2312"/>
          <w:bCs/>
          <w:sz w:val="32"/>
          <w:szCs w:val="32"/>
        </w:rPr>
      </w:pPr>
    </w:p>
    <w:p>
      <w:pPr>
        <w:spacing w:line="580" w:lineRule="exact"/>
        <w:ind w:firstLine="640" w:firstLineChars="200"/>
        <w:outlineLvl w:val="3"/>
        <w:rPr>
          <w:rFonts w:eastAsia="仿宋_GB2312"/>
          <w:bCs/>
          <w:sz w:val="32"/>
          <w:szCs w:val="32"/>
        </w:rPr>
      </w:pPr>
      <w:r>
        <w:rPr>
          <w:rFonts w:eastAsia="仿宋_GB2312"/>
          <w:bCs/>
          <w:sz w:val="32"/>
          <w:szCs w:val="32"/>
        </w:rPr>
        <w:t>规范示范小城镇发展路径。严格落实《中共中央办公厅国务院办公厅关于严格村庄撤并工作通知》（中办发〔2020〕39号）和《规范我市村庄撤并工作的具体措施》（津发改体改〔2021〕120号）。建立健全示范小城镇发展长效机制，进一步厘清市、区两级规划建设及管理责任。对现有示范小城镇进行分类疏导：对于基础设施完备、产业发展健康、居民生活舒适的示范小城镇，进一步加快验收；对于目前正在建设的示范小城镇，积极协调各方资源，帮助其按原规划尽快完成建设；对于尚未开展建设的示范小城镇视其基础条件和现状水平，在符合当地农民意愿的前提下，由区政府申请退出示范小城镇试点，以便开展其他工程建设。以严格节约集约利用土地、严守生态保护红线、严防地方政府债务风险、严控“房地产化”倾向为原则，进一步深化淘汰整改。</w:t>
      </w:r>
    </w:p>
    <w:p>
      <w:pPr>
        <w:spacing w:line="580" w:lineRule="exact"/>
        <w:ind w:firstLine="640" w:firstLineChars="200"/>
        <w:outlineLvl w:val="3"/>
        <w:rPr>
          <w:rFonts w:eastAsia="仿宋_GB2312"/>
          <w:bCs/>
          <w:sz w:val="32"/>
          <w:szCs w:val="32"/>
        </w:rPr>
      </w:pPr>
      <w:r>
        <w:rPr>
          <w:rFonts w:eastAsia="仿宋_GB2312"/>
          <w:bCs/>
          <w:sz w:val="32"/>
          <w:szCs w:val="32"/>
        </w:rPr>
        <w:t>按照区位条件、资源禀赋和发展基础，分类引导小城镇发展。</w:t>
      </w:r>
      <w:r>
        <w:rPr>
          <w:rFonts w:hint="eastAsia" w:eastAsia="仿宋_GB2312"/>
          <w:bCs/>
          <w:sz w:val="32"/>
          <w:szCs w:val="32"/>
        </w:rPr>
        <w:t>“津城”“滨城”</w:t>
      </w:r>
      <w:r>
        <w:rPr>
          <w:rFonts w:eastAsia="仿宋_GB2312"/>
          <w:bCs/>
          <w:sz w:val="32"/>
          <w:szCs w:val="32"/>
        </w:rPr>
        <w:t>周边的小城镇，要对接城市需求，融入城市发展，借巩固深化经济发达镇行政管理体制改革成果之力，逐步发展成为卫星镇。具有区位优势或独特资源的小城镇，要挖掘产业特色、人文底蕴和生态禀赋，发展成为先进制造、交通枢纽、商贸流通、文化旅游等专业功能镇。远离城市的小城镇，完善基础设施和公共服务，发展成为服务乡村、带动周边的综合性小城镇。</w:t>
      </w:r>
    </w:p>
    <w:p>
      <w:pPr>
        <w:rPr>
          <w:rFonts w:eastAsia="CESI仿宋-GB2312"/>
          <w:szCs w:val="21"/>
        </w:rPr>
      </w:pPr>
    </w:p>
    <w:p>
      <w:pPr>
        <w:ind w:firstLine="880"/>
        <w:rPr>
          <w:szCs w:val="21"/>
        </w:rPr>
      </w:pPr>
    </w:p>
    <w:p>
      <w:pPr>
        <w:rPr>
          <w:szCs w:val="22"/>
        </w:rPr>
      </w:pPr>
    </w:p>
    <w:p>
      <w:pPr>
        <w:rPr>
          <w:szCs w:val="22"/>
        </w:rPr>
      </w:pPr>
    </w:p>
    <w:p>
      <w:pPr>
        <w:rPr>
          <w:rFonts w:eastAsia="CESI仿宋-GB2312"/>
          <w:szCs w:val="21"/>
        </w:rPr>
      </w:pPr>
    </w:p>
    <w:p>
      <w:pPr>
        <w:ind w:firstLine="880"/>
        <w:rPr>
          <w:szCs w:val="21"/>
        </w:rPr>
      </w:pPr>
    </w:p>
    <w:p>
      <w:pPr>
        <w:rPr>
          <w:szCs w:val="22"/>
        </w:rPr>
      </w:pPr>
    </w:p>
    <w:p>
      <w:pPr>
        <w:rPr>
          <w:rFonts w:eastAsia="CESI仿宋-GB2312"/>
          <w:szCs w:val="21"/>
        </w:rPr>
      </w:pPr>
    </w:p>
    <w:tbl>
      <w:tblPr>
        <w:tblStyle w:val="2"/>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autofit"/>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3433" w:hRule="atLeast"/>
        </w:trPr>
        <w:tc>
          <w:tcPr>
            <w:tcW w:w="8870" w:type="dxa"/>
            <w:noWrap w:val="0"/>
            <w:vAlign w:val="top"/>
          </w:tcPr>
          <w:p>
            <w:pPr>
              <w:spacing w:line="580" w:lineRule="exact"/>
              <w:jc w:val="center"/>
              <w:rPr>
                <w:rFonts w:eastAsia="楷体"/>
                <w:b/>
                <w:bCs/>
                <w:sz w:val="28"/>
                <w:szCs w:val="32"/>
              </w:rPr>
            </w:pPr>
            <w:r>
              <w:rPr>
                <w:rFonts w:eastAsia="楷体"/>
                <w:b/>
                <w:bCs/>
                <w:sz w:val="28"/>
                <w:szCs w:val="32"/>
              </w:rPr>
              <w:t>专栏4 加快开展城镇化补短板强弱项</w:t>
            </w:r>
          </w:p>
          <w:p>
            <w:pPr>
              <w:spacing w:line="580" w:lineRule="exact"/>
              <w:ind w:firstLine="480" w:firstLineChars="200"/>
              <w:rPr>
                <w:rFonts w:eastAsia="仿宋_GB2312"/>
                <w:bCs/>
                <w:sz w:val="24"/>
                <w:szCs w:val="32"/>
                <w:lang w:val="en"/>
              </w:rPr>
            </w:pPr>
            <w:r>
              <w:rPr>
                <w:rFonts w:eastAsia="仿宋_GB2312"/>
                <w:bCs/>
                <w:sz w:val="24"/>
                <w:szCs w:val="32"/>
                <w:lang w:val="en"/>
              </w:rPr>
              <w:t>（一）主要目标：用3年时间抓紧补齐疫情暴露出我市各涉农区街镇的城镇化短板弱项，加快项目谋划、储备、审批，推动项目早开工建设，扩大有效投资，释放消费潜力，拓展市场纵深，尽早补齐短板弱项。到2023年底前，实现全市涉农区街镇公共设施和服务能力显著提升，公共服务全面提标扩面、环境卫生设施整体提级扩能、市政公用设施提档升级、产业培育设施提质增效，街镇产业平台特色鲜明、要素高度集聚，农民日益增加到街镇就业安家需求得到满足，各街镇成为扩大内需战略和新型城镇化战略的重要支撑。</w:t>
            </w:r>
          </w:p>
          <w:p>
            <w:pPr>
              <w:spacing w:line="580" w:lineRule="exact"/>
              <w:ind w:firstLine="480" w:firstLineChars="200"/>
              <w:rPr>
                <w:rFonts w:eastAsia="仿宋_GB2312"/>
                <w:bCs/>
                <w:sz w:val="24"/>
                <w:szCs w:val="32"/>
                <w:lang w:val="en"/>
              </w:rPr>
            </w:pPr>
            <w:r>
              <w:rPr>
                <w:rFonts w:eastAsia="仿宋_GB2312"/>
                <w:bCs/>
                <w:sz w:val="24"/>
                <w:szCs w:val="32"/>
                <w:lang w:val="en"/>
              </w:rPr>
              <w:t>（二）重点目标区域。重点投向涉农区政府驻地镇（或街道及其实际建设连接到的居委会所辖区域）、街镇政府驻地镇区（或街道），特别是镇区常住人口10万以上的非区级政府驻地特大镇的新型城镇化建设。</w:t>
            </w:r>
          </w:p>
          <w:p>
            <w:pPr>
              <w:spacing w:line="580" w:lineRule="exact"/>
              <w:ind w:firstLine="480" w:firstLineChars="200"/>
              <w:rPr>
                <w:rFonts w:eastAsia="仿宋_GB2312"/>
                <w:sz w:val="24"/>
                <w:szCs w:val="22"/>
                <w:highlight w:val="red"/>
              </w:rPr>
            </w:pPr>
            <w:r>
              <w:rPr>
                <w:rFonts w:eastAsia="仿宋_GB2312"/>
                <w:bCs/>
                <w:sz w:val="24"/>
                <w:szCs w:val="32"/>
                <w:lang w:val="en"/>
              </w:rPr>
              <w:t>（三）重点建设领域。</w:t>
            </w:r>
            <w:r>
              <w:rPr>
                <w:rFonts w:eastAsia="仿宋_GB2312"/>
                <w:sz w:val="24"/>
                <w:szCs w:val="22"/>
              </w:rPr>
              <w:t>坚持“缺什么补什么”，推进4大类17项建设任务，涉及81个谋划项目和334个既定项目，推动开工建设。</w:t>
            </w:r>
          </w:p>
          <w:p>
            <w:pPr>
              <w:spacing w:line="580" w:lineRule="exact"/>
              <w:ind w:firstLine="480" w:firstLineChars="200"/>
              <w:rPr>
                <w:rFonts w:eastAsia="仿宋_GB2312"/>
                <w:sz w:val="24"/>
                <w:szCs w:val="22"/>
              </w:rPr>
            </w:pPr>
            <w:r>
              <w:rPr>
                <w:rFonts w:eastAsia="仿宋_GB2312"/>
                <w:sz w:val="24"/>
                <w:szCs w:val="22"/>
              </w:rPr>
              <w:t>1.推进公共服务设施提标扩面：健全医疗卫生设施、完善教育设施、改善养老托育设施、发展文旅体育设施、完善社会福利设施、建设社区综合服务设施。</w:t>
            </w:r>
          </w:p>
          <w:p>
            <w:pPr>
              <w:spacing w:line="580" w:lineRule="exact"/>
              <w:ind w:firstLine="480" w:firstLineChars="200"/>
              <w:rPr>
                <w:rFonts w:eastAsia="仿宋_GB2312"/>
                <w:sz w:val="24"/>
                <w:szCs w:val="22"/>
              </w:rPr>
            </w:pPr>
            <w:r>
              <w:rPr>
                <w:rFonts w:eastAsia="仿宋_GB2312"/>
                <w:sz w:val="24"/>
                <w:szCs w:val="22"/>
              </w:rPr>
              <w:t>2.推进环境卫生设施提级扩能：完善垃圾无害化资源化处理设施、健全污水集中处理设施、改善街镇公共厕所。</w:t>
            </w:r>
          </w:p>
          <w:p>
            <w:pPr>
              <w:spacing w:line="580" w:lineRule="exact"/>
              <w:ind w:firstLine="480" w:firstLineChars="200"/>
              <w:rPr>
                <w:rFonts w:eastAsia="仿宋_GB2312"/>
                <w:sz w:val="24"/>
                <w:szCs w:val="22"/>
              </w:rPr>
            </w:pPr>
            <w:r>
              <w:rPr>
                <w:rFonts w:eastAsia="仿宋_GB2312"/>
                <w:sz w:val="24"/>
                <w:szCs w:val="22"/>
              </w:rPr>
              <w:t>3.推进市政公用设施提档升级：优化市政交通设施、完善市政管网设施、发展配送投递设施、推进街镇智慧化改造、更新改造老旧小区。</w:t>
            </w:r>
          </w:p>
          <w:p>
            <w:pPr>
              <w:spacing w:line="580" w:lineRule="exact"/>
              <w:ind w:firstLine="480" w:firstLineChars="200"/>
              <w:rPr>
                <w:szCs w:val="22"/>
                <w:lang w:val="en"/>
              </w:rPr>
            </w:pPr>
            <w:r>
              <w:rPr>
                <w:rFonts w:eastAsia="仿宋_GB2312"/>
                <w:sz w:val="24"/>
                <w:szCs w:val="22"/>
              </w:rPr>
              <w:t>4.推进产业培育设施提质增效：完善产业平台配套设施、健全冷链物流设施、提升农贸市场水平。</w:t>
            </w:r>
          </w:p>
        </w:tc>
      </w:tr>
    </w:tbl>
    <w:p>
      <w:pPr>
        <w:keepNext/>
        <w:keepLines/>
        <w:spacing w:line="580" w:lineRule="exact"/>
        <w:outlineLvl w:val="2"/>
        <w:rPr>
          <w:rFonts w:eastAsia="楷体"/>
          <w:sz w:val="32"/>
          <w:szCs w:val="32"/>
        </w:rPr>
      </w:pPr>
      <w:r>
        <w:rPr>
          <w:rFonts w:eastAsia="楷体"/>
          <w:sz w:val="32"/>
          <w:szCs w:val="32"/>
        </w:rPr>
        <w:t xml:space="preserve">    （三）以城乡融合促城乡共同繁荣发展 </w:t>
      </w:r>
    </w:p>
    <w:p>
      <w:pPr>
        <w:spacing w:line="580" w:lineRule="exact"/>
        <w:ind w:firstLine="640" w:firstLineChars="200"/>
        <w:rPr>
          <w:rFonts w:hint="eastAsia" w:eastAsia="仿宋_GB2312"/>
          <w:bCs/>
          <w:sz w:val="32"/>
          <w:szCs w:val="32"/>
        </w:rPr>
      </w:pPr>
      <w:r>
        <w:rPr>
          <w:rFonts w:eastAsia="仿宋_GB2312"/>
          <w:bCs/>
          <w:sz w:val="32"/>
          <w:szCs w:val="32"/>
        </w:rPr>
        <w:t>1.构建城乡一体的公共服务和基础设施体系</w:t>
      </w:r>
    </w:p>
    <w:p>
      <w:pPr>
        <w:spacing w:line="580" w:lineRule="exact"/>
        <w:ind w:firstLine="640" w:firstLineChars="200"/>
        <w:rPr>
          <w:rFonts w:eastAsia="仿宋_GB2312"/>
          <w:bCs/>
          <w:sz w:val="32"/>
          <w:szCs w:val="32"/>
        </w:rPr>
      </w:pPr>
      <w:r>
        <w:rPr>
          <w:rFonts w:eastAsia="仿宋_GB2312"/>
          <w:bCs/>
          <w:sz w:val="32"/>
          <w:szCs w:val="32"/>
        </w:rPr>
        <w:t>建立城乡一体的教育、医疗、养老、文化、社保等公共服务体系。进一步优化教育资源配置，推进义务教育优质均衡发展。促进信息技术与教育教学深度融合，推动优质教育资源城乡共享，各区建立乡村教师补充机制，推动教师资源向乡村倾斜，完善乡村义务教育学校校长、教师交流轮岗机制，推进学区化、集团化办学，推动城区优质教育资源向乡村地区学校辐射。提高职业院校课程设置与城乡融合发展的契合度，加快培育“教师+技师”等双师型师资队伍，推进公办职业院校混合所有制改革。健全公共卫生应急服务体系和医疗服务体系建设，推进实施“互联网+医疗健康”便民惠民行动，加快建设</w:t>
      </w:r>
      <w:r>
        <w:rPr>
          <w:rFonts w:eastAsia="仿宋"/>
          <w:bCs/>
          <w:sz w:val="32"/>
          <w:szCs w:val="32"/>
        </w:rPr>
        <w:t>“</w:t>
      </w:r>
      <w:r>
        <w:rPr>
          <w:rFonts w:eastAsia="仿宋_GB2312"/>
          <w:bCs/>
          <w:sz w:val="32"/>
          <w:szCs w:val="32"/>
        </w:rPr>
        <w:t>健康天津</w:t>
      </w:r>
      <w:r>
        <w:rPr>
          <w:rFonts w:eastAsia="仿宋"/>
          <w:bCs/>
          <w:sz w:val="32"/>
          <w:szCs w:val="32"/>
        </w:rPr>
        <w:t>”，惠及城乡居民，</w:t>
      </w:r>
      <w:r>
        <w:rPr>
          <w:rFonts w:eastAsia="仿宋_GB2312"/>
          <w:bCs/>
          <w:sz w:val="32"/>
          <w:szCs w:val="32"/>
        </w:rPr>
        <w:t>缩小城乡医疗卫生服务差距，鼓励三级医院医疗资源下沉，实现与基层医疗机构双向转诊，推动医保定点村卫生室门诊医疗费用联网结算、公共卫生联网及家庭医生签约，鼓励社会力量参与乡镇卫生院</w:t>
      </w:r>
      <w:r>
        <w:rPr>
          <w:rFonts w:eastAsia="仿宋"/>
          <w:bCs/>
          <w:sz w:val="32"/>
          <w:szCs w:val="32"/>
        </w:rPr>
        <w:t>“</w:t>
      </w:r>
      <w:r>
        <w:rPr>
          <w:rFonts w:eastAsia="仿宋_GB2312"/>
          <w:bCs/>
          <w:sz w:val="32"/>
          <w:szCs w:val="32"/>
        </w:rPr>
        <w:t>智慧门诊</w:t>
      </w:r>
      <w:r>
        <w:rPr>
          <w:rFonts w:eastAsia="仿宋"/>
          <w:bCs/>
          <w:sz w:val="32"/>
          <w:szCs w:val="32"/>
        </w:rPr>
        <w:t>”</w:t>
      </w:r>
      <w:r>
        <w:rPr>
          <w:rFonts w:eastAsia="仿宋_GB2312"/>
          <w:bCs/>
          <w:sz w:val="32"/>
          <w:szCs w:val="32"/>
        </w:rPr>
        <w:t>建设，加强乡村医疗卫生服务体系建设，完善重大疫情预警、救治和应急处置机制。构建多元化养老服务体系，加快完善居家为基础、社区为依托、机构为补充、医养相结合的养老服务体系。健全农村养老服务网络，统筹城乡老年人照料中心建设，扩大农村照料中心比例，大力发展农村幸福院等互助养老设施，推动农村养老服务提质升级。统筹城乡公共文化设施布局和队伍建设，推动文化资源向乡村倾斜，鼓励有条件的区依托特色资源建设博物馆、非遗馆等公共文化服务场所。在农业转移人口集中居住地建设公共文化体育空间。完善农村社会保障体系，鼓励新型职业农民及外来务工人员等群体参保，进一步扩大社会保险覆盖范围。</w:t>
      </w:r>
    </w:p>
    <w:p>
      <w:pPr>
        <w:spacing w:line="580" w:lineRule="exact"/>
        <w:rPr>
          <w:rFonts w:eastAsia="仿宋_GB2312"/>
          <w:bCs/>
          <w:sz w:val="32"/>
          <w:szCs w:val="32"/>
        </w:rPr>
      </w:pPr>
      <w:r>
        <w:rPr>
          <w:rFonts w:eastAsia="仿宋_GB2312"/>
          <w:bCs/>
          <w:sz w:val="32"/>
          <w:szCs w:val="32"/>
        </w:rPr>
        <w:t xml:space="preserve">    建立城乡一体的道路、供水、供电、信息通信等基础设施体系建管机制。统筹规划城乡基础设施，统筹布局道路、供水、供电、信息通信、物流、防洪和垃圾污水处理等设施，推动5G网络建设纳入各级国土空间规划，推进城乡联结的冷链物流、农贸市场一体化改造等项目，加强城乡公共安全视频监控规划、建设和联网应用。支持有条件的乡镇将城乡基础设施项目整体打包，实行一体化开发建设，明确所有权归属。根据市区两级财政事权和支出责任划分，将城乡道路等公益性设施的管护和运行纳入同级财政预算。通过财政补助、使用者付费、社会筹资等渠道落实准公益性设施管护经费。以政府购买服务等方式引入专业化企业，提高基础设施管护市场化程度。</w:t>
      </w:r>
    </w:p>
    <w:p>
      <w:pPr>
        <w:spacing w:line="580" w:lineRule="exact"/>
        <w:ind w:firstLine="640" w:firstLineChars="200"/>
        <w:rPr>
          <w:rFonts w:hint="eastAsia" w:eastAsia="仿宋_GB2312"/>
          <w:bCs/>
          <w:sz w:val="32"/>
          <w:szCs w:val="32"/>
        </w:rPr>
      </w:pPr>
      <w:r>
        <w:rPr>
          <w:rFonts w:eastAsia="仿宋_GB2312"/>
          <w:bCs/>
          <w:sz w:val="32"/>
          <w:szCs w:val="32"/>
        </w:rPr>
        <w:t>2.建立健全乡村经济多元化发展体制机制</w:t>
      </w:r>
    </w:p>
    <w:p>
      <w:pPr>
        <w:spacing w:line="580" w:lineRule="exact"/>
        <w:ind w:firstLine="640" w:firstLineChars="200"/>
        <w:rPr>
          <w:rFonts w:eastAsia="仿宋_GB2312"/>
          <w:bCs/>
          <w:sz w:val="32"/>
          <w:szCs w:val="32"/>
        </w:rPr>
      </w:pPr>
      <w:r>
        <w:rPr>
          <w:rFonts w:eastAsia="仿宋_GB2312"/>
          <w:bCs/>
          <w:sz w:val="32"/>
          <w:szCs w:val="32"/>
        </w:rPr>
        <w:t>完善农业支持保护制度。全面落实永久基本农田特殊保护制度，发展多种形式农业适度规模经营。完善支持农业机械化政策，全面推进农业机械化向高质高效升级，加强面向小农户的社会化服务。建立以绿色生态为导向的农业补贴制度。完善重要农产品收储制度。完善农业风险保障制度，健全农业保险政策体系。</w:t>
      </w:r>
    </w:p>
    <w:p>
      <w:pPr>
        <w:spacing w:line="580" w:lineRule="exact"/>
        <w:ind w:firstLine="640" w:firstLineChars="200"/>
        <w:rPr>
          <w:rFonts w:eastAsia="仿宋_GB2312"/>
          <w:bCs/>
          <w:sz w:val="32"/>
          <w:szCs w:val="32"/>
        </w:rPr>
      </w:pPr>
      <w:r>
        <w:rPr>
          <w:rFonts w:eastAsia="仿宋_GB2312"/>
          <w:bCs/>
          <w:sz w:val="32"/>
          <w:szCs w:val="32"/>
        </w:rPr>
        <w:t>健全新产业新业态培育机制。构建现代都市型农业生产体系、产业体系和经营体系，积极推进农村一二三产融合发展，培育乡村旅游、休闲农业、民宿经济、健康养老、房车营地、户外运动等新业态。推广完善农业众筹、会展农业等新商业模式，完善农村电子商务支持政策。积极推进农业信息进村入户工程，基本实现全市行政村益农信息服务全覆盖。推进区域性旅游资源整合，促进特色小镇、小城镇建设发展与文化旅游服务业深度融合，鼓励开展</w:t>
      </w:r>
      <w:r>
        <w:rPr>
          <w:rFonts w:eastAsia="仿宋"/>
          <w:bCs/>
          <w:sz w:val="32"/>
          <w:szCs w:val="32"/>
        </w:rPr>
        <w:t>“</w:t>
      </w:r>
      <w:r>
        <w:rPr>
          <w:rFonts w:eastAsia="仿宋_GB2312"/>
          <w:bCs/>
          <w:sz w:val="32"/>
          <w:szCs w:val="32"/>
        </w:rPr>
        <w:t>旅行社带镇</w:t>
      </w:r>
      <w:r>
        <w:rPr>
          <w:rFonts w:eastAsia="仿宋"/>
          <w:bCs/>
          <w:sz w:val="32"/>
          <w:szCs w:val="32"/>
        </w:rPr>
        <w:t>”</w:t>
      </w:r>
      <w:r>
        <w:rPr>
          <w:rFonts w:eastAsia="仿宋_GB2312"/>
          <w:bCs/>
          <w:sz w:val="32"/>
          <w:szCs w:val="32"/>
        </w:rPr>
        <w:t>联合开发模式。培育农业国际化自主品牌，支持农业企业</w:t>
      </w:r>
      <w:r>
        <w:rPr>
          <w:rFonts w:eastAsia="仿宋"/>
          <w:bCs/>
          <w:sz w:val="32"/>
          <w:szCs w:val="32"/>
        </w:rPr>
        <w:t>“</w:t>
      </w:r>
      <w:r>
        <w:rPr>
          <w:rFonts w:eastAsia="仿宋_GB2312"/>
          <w:bCs/>
          <w:sz w:val="32"/>
          <w:szCs w:val="32"/>
        </w:rPr>
        <w:t>走出去</w:t>
      </w:r>
      <w:r>
        <w:rPr>
          <w:rFonts w:eastAsia="仿宋"/>
          <w:bCs/>
          <w:sz w:val="32"/>
          <w:szCs w:val="32"/>
        </w:rPr>
        <w:t>”</w:t>
      </w:r>
      <w:r>
        <w:rPr>
          <w:rFonts w:eastAsia="仿宋_GB2312"/>
          <w:bCs/>
          <w:sz w:val="32"/>
          <w:szCs w:val="32"/>
        </w:rPr>
        <w:t>。</w:t>
      </w:r>
    </w:p>
    <w:p>
      <w:pPr>
        <w:spacing w:line="580" w:lineRule="exact"/>
        <w:ind w:firstLine="640" w:firstLineChars="200"/>
        <w:rPr>
          <w:rFonts w:eastAsia="仿宋_GB2312"/>
          <w:bCs/>
          <w:sz w:val="32"/>
          <w:szCs w:val="32"/>
        </w:rPr>
      </w:pPr>
      <w:r>
        <w:rPr>
          <w:rFonts w:eastAsia="仿宋_GB2312"/>
          <w:bCs/>
          <w:sz w:val="32"/>
          <w:szCs w:val="32"/>
        </w:rPr>
        <w:t>构建区域一体化的生态产品价值实现机制。培育新型生态产业化经营主体，完善自然资源价格形成机制，建立自然资源政府公示价格体系。健全生态产品价值实现的金融支持体系，制定市对区生态补偿转移支付办法，探索建立根据生态产品质量和价值确定财政转移支付额度、横向生态补偿额度的体制机制。加快构建京津冀区域生态产品供给一体化的合作机制，建立京津冀一体化的自然资源价格形成机制，开展生态产品价值核算，健全区域生态产品市场交易机制。</w:t>
      </w:r>
    </w:p>
    <w:p>
      <w:pPr>
        <w:keepNext/>
        <w:keepLines/>
        <w:spacing w:line="580" w:lineRule="exact"/>
        <w:outlineLvl w:val="2"/>
        <w:rPr>
          <w:rFonts w:eastAsia="楷体"/>
          <w:sz w:val="32"/>
          <w:szCs w:val="32"/>
        </w:rPr>
      </w:pPr>
      <w:r>
        <w:rPr>
          <w:rFonts w:eastAsia="楷体"/>
          <w:sz w:val="32"/>
          <w:szCs w:val="32"/>
        </w:rPr>
        <w:t xml:space="preserve">    （四）全面提升城市综合承载能力</w:t>
      </w:r>
    </w:p>
    <w:p>
      <w:pPr>
        <w:spacing w:line="580" w:lineRule="exact"/>
        <w:ind w:firstLine="640" w:firstLineChars="200"/>
        <w:rPr>
          <w:rFonts w:hint="eastAsia" w:eastAsia="仿宋_GB2312"/>
          <w:bCs/>
          <w:sz w:val="32"/>
          <w:szCs w:val="32"/>
        </w:rPr>
      </w:pPr>
      <w:r>
        <w:rPr>
          <w:rFonts w:eastAsia="仿宋_GB2312"/>
          <w:bCs/>
          <w:sz w:val="32"/>
          <w:szCs w:val="32"/>
        </w:rPr>
        <w:t>1.提升城市规划水平优化空间结构</w:t>
      </w:r>
    </w:p>
    <w:p>
      <w:pPr>
        <w:spacing w:line="580" w:lineRule="exact"/>
        <w:ind w:firstLine="640" w:firstLineChars="200"/>
        <w:rPr>
          <w:rFonts w:eastAsia="仿宋_GB2312"/>
          <w:bCs/>
          <w:sz w:val="32"/>
          <w:szCs w:val="32"/>
        </w:rPr>
      </w:pPr>
      <w:r>
        <w:rPr>
          <w:rFonts w:eastAsia="仿宋_GB2312"/>
          <w:bCs/>
          <w:sz w:val="32"/>
          <w:szCs w:val="32"/>
        </w:rPr>
        <w:t>创新规划理念，把以人为本、产城融合、绿色低碳、安全健康、人文传承等理念融入规划全过程。合理增加规划弹性，为未来发展预留空间。加强城市设计，建立城市整体景观框架，优化城市天际线，促进新老建筑体量、风格、色彩协调，加强公共空间、景观小品、标识系统设计，增强城市空间立体性、平面协调性、风貌整体性和文脉延续性。</w:t>
      </w:r>
    </w:p>
    <w:p>
      <w:pPr>
        <w:spacing w:line="580" w:lineRule="exact"/>
        <w:ind w:firstLine="640" w:firstLineChars="200"/>
        <w:rPr>
          <w:rFonts w:eastAsia="仿宋_GB2312"/>
          <w:bCs/>
          <w:sz w:val="32"/>
          <w:szCs w:val="32"/>
        </w:rPr>
      </w:pPr>
      <w:r>
        <w:rPr>
          <w:rFonts w:eastAsia="仿宋_GB2312"/>
          <w:bCs/>
          <w:sz w:val="32"/>
          <w:szCs w:val="32"/>
        </w:rPr>
        <w:t>加强城市空间开发保护的底线管控，统筹划定并严格落实生态保护红线、永久基本农田、城镇开发边界，防止“摊大饼”式扩张。统筹空间开发利用，优化各类功能布局与建设用地结构。强化存量空间更新指引，增加口袋公园、街心绿地、慢行系统等公共空间。探索地下空间开发利用新机制，推行分层开发和立体开发模式。合理提高路网密度，鼓励以轨道交通为导向的开发（TOD）等模式，推动轨道交通站点与周边土地综合开发。</w:t>
      </w:r>
    </w:p>
    <w:p>
      <w:pPr>
        <w:spacing w:line="580" w:lineRule="exact"/>
        <w:rPr>
          <w:rFonts w:hint="eastAsia" w:eastAsia="仿宋_GB2312"/>
          <w:bCs/>
          <w:sz w:val="32"/>
          <w:szCs w:val="32"/>
        </w:rPr>
      </w:pPr>
      <w:r>
        <w:rPr>
          <w:rFonts w:eastAsia="仿宋_GB2312"/>
          <w:bCs/>
          <w:sz w:val="32"/>
          <w:szCs w:val="32"/>
        </w:rPr>
        <w:t xml:space="preserve">    2.改革提升建设用地管理水平</w:t>
      </w:r>
    </w:p>
    <w:p>
      <w:pPr>
        <w:spacing w:line="580" w:lineRule="exact"/>
        <w:ind w:firstLine="640" w:firstLineChars="200"/>
        <w:rPr>
          <w:rFonts w:eastAsia="仿宋_GB2312"/>
          <w:bCs/>
          <w:sz w:val="32"/>
          <w:szCs w:val="32"/>
        </w:rPr>
      </w:pPr>
      <w:r>
        <w:rPr>
          <w:rFonts w:eastAsia="仿宋_GB2312"/>
          <w:bCs/>
          <w:sz w:val="32"/>
          <w:szCs w:val="32"/>
        </w:rPr>
        <w:t>创新土地资源管理方式。建立市级层面对</w:t>
      </w:r>
      <w:r>
        <w:rPr>
          <w:rFonts w:hint="eastAsia" w:eastAsia="仿宋_GB2312"/>
          <w:bCs/>
          <w:sz w:val="32"/>
          <w:szCs w:val="32"/>
        </w:rPr>
        <w:t>国土空间</w:t>
      </w:r>
      <w:r>
        <w:rPr>
          <w:rFonts w:eastAsia="仿宋_GB2312"/>
          <w:bCs/>
          <w:sz w:val="32"/>
          <w:szCs w:val="32"/>
        </w:rPr>
        <w:t>规划和土地的垂直管理体系，统筹全市土地资源使用，开展土地资源利用综合整治，努力推动全市土地资源实现</w:t>
      </w:r>
      <w:r>
        <w:rPr>
          <w:rFonts w:eastAsia="仿宋"/>
          <w:bCs/>
          <w:sz w:val="32"/>
          <w:szCs w:val="32"/>
        </w:rPr>
        <w:t>“</w:t>
      </w:r>
      <w:r>
        <w:rPr>
          <w:rFonts w:eastAsia="仿宋_GB2312"/>
          <w:bCs/>
          <w:sz w:val="32"/>
          <w:szCs w:val="32"/>
        </w:rPr>
        <w:t>靠管理出效益、靠管理出空间</w:t>
      </w:r>
      <w:r>
        <w:rPr>
          <w:rFonts w:eastAsia="仿宋"/>
          <w:bCs/>
          <w:sz w:val="32"/>
          <w:szCs w:val="32"/>
        </w:rPr>
        <w:t>”</w:t>
      </w:r>
      <w:r>
        <w:rPr>
          <w:rFonts w:eastAsia="仿宋_GB2312"/>
          <w:bCs/>
          <w:sz w:val="32"/>
          <w:szCs w:val="32"/>
        </w:rPr>
        <w:t>。完善土地管理体制，实施年度建设用地总量调控制度，涉农区、镇（乡）国土空间规划中，安排不少于10%的建设用地指标，重点保障乡村产业发展用地，对现代农业、休闲旅游等农村新产业新业态给予倾斜，鼓励农业生产与村庄建设等用地复合使用。各区要优先安排农村产业融合发展新增建设用地计划指标，不足的由市级统筹解决。</w:t>
      </w:r>
    </w:p>
    <w:p>
      <w:pPr>
        <w:spacing w:line="580" w:lineRule="exact"/>
        <w:ind w:firstLine="640" w:firstLineChars="200"/>
        <w:rPr>
          <w:rFonts w:eastAsia="仿宋_GB2312"/>
          <w:bCs/>
          <w:sz w:val="32"/>
          <w:szCs w:val="32"/>
        </w:rPr>
      </w:pPr>
      <w:r>
        <w:rPr>
          <w:rFonts w:eastAsia="仿宋_GB2312"/>
          <w:bCs/>
          <w:sz w:val="32"/>
          <w:szCs w:val="32"/>
        </w:rPr>
        <w:t>健全农村土地流转交易制度。完善农村承包地制度，巩固农村承包地确权登记颁证成果，依法保护集体所有权和农户承包权，进一步放活土地经营权，允许土地经营权入股从事农业产业化经营。鼓励符合条件的村通过确权确股形式，组建以土地股份合作经营为主的股份经济合作社。深化农村宅基地制度改革，探索宅基地所有权、资格权和使用权“三权分置”，实施新一轮农村宅基地制度改革试点。探索闲置宅基地有偿退出，鼓励农村集体经济组织及其成员盘活利用闲置宅基地和闲置房屋，探索增量宅基地集约有奖制度。全面推开农村土地征收制度改革，加强农村产权流转交易市场建设，将农村集体经营性建设用地使用权出让纳入土地交易市场。制定出台农村集体经营性建设用地入市管理办法，逐步实现与国有土地同等入市、同权同价，保障集体经营性建设用地使用权和地上建筑物所有权房地一体、分割转让。</w:t>
      </w:r>
    </w:p>
    <w:p>
      <w:pPr>
        <w:spacing w:line="580" w:lineRule="exact"/>
        <w:ind w:firstLine="640" w:firstLineChars="200"/>
        <w:rPr>
          <w:rFonts w:eastAsia="仿宋_GB2312"/>
          <w:bCs/>
          <w:sz w:val="32"/>
          <w:szCs w:val="32"/>
        </w:rPr>
      </w:pPr>
      <w:r>
        <w:rPr>
          <w:rFonts w:eastAsia="仿宋_GB2312"/>
          <w:bCs/>
          <w:sz w:val="32"/>
          <w:szCs w:val="32"/>
        </w:rPr>
        <w:t>提高城镇建设用地利用效率。严控用地规模供给和时序安排，促进空间利用向集约紧凑、功能复合、低碳高效转变。优化产业空间布局，严格产业准入门槛，推进工业园区、城中村及城边村等低效利用空间的有机更新，加快推动园区平台整合、零散与低效产业用地整治。加大存量建设用地挖潜力度，推进土地利用功能适度混合利用，建立建设用地增量供应与存量用地盘活、效益评价挂钩实施机制，全面提升土地利用效率。鼓励盘活存量建设用地，探索城乡建设用地增减挂钩节余指标市域内竞争性交易。</w:t>
      </w:r>
    </w:p>
    <w:p>
      <w:pPr>
        <w:spacing w:line="580" w:lineRule="exact"/>
        <w:ind w:firstLine="640" w:firstLineChars="200"/>
        <w:rPr>
          <w:rFonts w:hint="eastAsia" w:eastAsia="仿宋_GB2312"/>
          <w:bCs/>
          <w:sz w:val="32"/>
          <w:szCs w:val="32"/>
        </w:rPr>
      </w:pPr>
      <w:r>
        <w:rPr>
          <w:rFonts w:eastAsia="仿宋_GB2312"/>
          <w:bCs/>
          <w:sz w:val="32"/>
          <w:szCs w:val="32"/>
        </w:rPr>
        <w:t>3.促进基础设施与城市更新量质双升</w:t>
      </w:r>
    </w:p>
    <w:p>
      <w:pPr>
        <w:spacing w:line="580" w:lineRule="exact"/>
        <w:ind w:firstLine="640" w:firstLineChars="200"/>
        <w:rPr>
          <w:rFonts w:eastAsia="仿宋_GB2312"/>
          <w:bCs/>
          <w:sz w:val="32"/>
          <w:szCs w:val="32"/>
        </w:rPr>
      </w:pPr>
      <w:r>
        <w:rPr>
          <w:rFonts w:eastAsia="仿宋_GB2312"/>
          <w:bCs/>
          <w:sz w:val="32"/>
          <w:szCs w:val="32"/>
        </w:rPr>
        <w:t>加快新型基础设施的建设与合理布局。借助</w:t>
      </w:r>
      <w:r>
        <w:rPr>
          <w:rFonts w:eastAsia="仿宋"/>
          <w:bCs/>
          <w:sz w:val="32"/>
          <w:szCs w:val="32"/>
        </w:rPr>
        <w:t>“</w:t>
      </w:r>
      <w:r>
        <w:rPr>
          <w:rFonts w:eastAsia="仿宋_GB2312"/>
          <w:bCs/>
          <w:sz w:val="32"/>
          <w:szCs w:val="32"/>
        </w:rPr>
        <w:t>两新一重</w:t>
      </w:r>
      <w:r>
        <w:rPr>
          <w:rFonts w:eastAsia="仿宋"/>
          <w:bCs/>
          <w:sz w:val="32"/>
          <w:szCs w:val="32"/>
        </w:rPr>
        <w:t>”</w:t>
      </w:r>
      <w:r>
        <w:rPr>
          <w:rFonts w:eastAsia="仿宋_GB2312"/>
          <w:bCs/>
          <w:sz w:val="32"/>
          <w:szCs w:val="32"/>
        </w:rPr>
        <w:t>战略机遇，结合智能城市建设，科学规划5G、数据中心、工业互联网、人工智能等新型基础设施建设布局。积极推进泛在连接的通信网络基础设施，推动全市5G网络基础设施建设，加快5G商用步伐，</w:t>
      </w:r>
      <w:r>
        <w:rPr>
          <w:rFonts w:hint="eastAsia" w:eastAsia="仿宋_GB2312"/>
          <w:bCs/>
          <w:sz w:val="32"/>
          <w:szCs w:val="32"/>
        </w:rPr>
        <w:t>建设</w:t>
      </w:r>
      <w:r>
        <w:rPr>
          <w:rFonts w:eastAsia="仿宋_GB2312"/>
          <w:bCs/>
          <w:sz w:val="32"/>
          <w:szCs w:val="32"/>
        </w:rPr>
        <w:t>5G创新示范标杆城市。加快生产基础设施智能化转型，促进产业数字化发展。促进新型基础设施与传统基础设施融合协同发展，对提高城市公共服务能力和社会治理能力提供有效支撑。</w:t>
      </w:r>
    </w:p>
    <w:p>
      <w:pPr>
        <w:spacing w:line="580" w:lineRule="exact"/>
        <w:rPr>
          <w:rFonts w:eastAsia="仿宋_GB2312"/>
          <w:sz w:val="32"/>
          <w:szCs w:val="32"/>
        </w:rPr>
      </w:pPr>
      <w:r>
        <w:rPr>
          <w:rFonts w:eastAsia="仿宋_GB2312"/>
          <w:bCs/>
          <w:sz w:val="32"/>
          <w:szCs w:val="32"/>
        </w:rPr>
        <mc:AlternateContent>
          <mc:Choice Requires="wps">
            <w:drawing>
              <wp:anchor distT="0" distB="0" distL="114300" distR="114300" simplePos="0" relativeHeight="251660288" behindDoc="0" locked="0" layoutInCell="1" allowOverlap="1">
                <wp:simplePos x="0" y="0"/>
                <wp:positionH relativeFrom="margin">
                  <wp:posOffset>55245</wp:posOffset>
                </wp:positionH>
                <wp:positionV relativeFrom="paragraph">
                  <wp:posOffset>62230</wp:posOffset>
                </wp:positionV>
                <wp:extent cx="5573395" cy="4629150"/>
                <wp:effectExtent l="5080" t="4445" r="22225" b="14605"/>
                <wp:wrapTopAndBottom/>
                <wp:docPr id="6" name="文本框 6"/>
                <wp:cNvGraphicFramePr/>
                <a:graphic xmlns:a="http://schemas.openxmlformats.org/drawingml/2006/main">
                  <a:graphicData uri="http://schemas.microsoft.com/office/word/2010/wordprocessingShape">
                    <wps:wsp>
                      <wps:cNvSpPr txBox="1"/>
                      <wps:spPr>
                        <a:xfrm>
                          <a:off x="0" y="0"/>
                          <a:ext cx="5453823" cy="4658264"/>
                        </a:xfrm>
                        <a:prstGeom prst="rect">
                          <a:avLst/>
                        </a:prstGeom>
                        <a:solidFill>
                          <a:srgbClr val="FFFFFF"/>
                        </a:solidFill>
                        <a:ln w="6350">
                          <a:solidFill>
                            <a:prstClr val="black"/>
                          </a:solidFill>
                        </a:ln>
                        <a:effectLst/>
                      </wps:spPr>
                      <wps:txbx>
                        <w:txbxContent>
                          <w:p>
                            <w:pPr>
                              <w:jc w:val="center"/>
                              <w:rPr>
                                <w:rFonts w:hint="eastAsia" w:eastAsia="楷体"/>
                                <w:b/>
                                <w:bCs/>
                                <w:sz w:val="28"/>
                                <w:szCs w:val="32"/>
                              </w:rPr>
                            </w:pPr>
                            <w:r>
                              <w:rPr>
                                <w:rFonts w:hint="eastAsia" w:eastAsia="楷体"/>
                                <w:b/>
                                <w:bCs/>
                                <w:sz w:val="28"/>
                                <w:szCs w:val="32"/>
                              </w:rPr>
                              <w:t>专栏5 新一代信息基础设施建设工程</w:t>
                            </w:r>
                          </w:p>
                          <w:p>
                            <w:pPr>
                              <w:spacing w:line="360" w:lineRule="auto"/>
                              <w:ind w:firstLine="480" w:firstLineChars="200"/>
                              <w:rPr>
                                <w:rFonts w:eastAsia="仿宋"/>
                                <w:sz w:val="24"/>
                                <w:szCs w:val="32"/>
                              </w:rPr>
                            </w:pPr>
                            <w:r>
                              <w:rPr>
                                <w:rFonts w:hint="eastAsia" w:eastAsia="仿宋"/>
                                <w:sz w:val="24"/>
                                <w:szCs w:val="32"/>
                              </w:rPr>
                              <w:t>1.</w:t>
                            </w:r>
                            <w:r>
                              <w:rPr>
                                <w:rFonts w:eastAsia="仿宋"/>
                                <w:sz w:val="24"/>
                                <w:szCs w:val="32"/>
                              </w:rPr>
                              <w:t>实施5G移动网络和千兆光纤宽带网络工程。引导基础电信企业加大建设力度，到2022年底累计</w:t>
                            </w:r>
                            <w:r>
                              <w:rPr>
                                <w:rFonts w:hint="eastAsia" w:eastAsia="仿宋"/>
                                <w:sz w:val="24"/>
                                <w:szCs w:val="32"/>
                              </w:rPr>
                              <w:t>建设</w:t>
                            </w:r>
                            <w:r>
                              <w:rPr>
                                <w:rFonts w:eastAsia="仿宋"/>
                                <w:sz w:val="24"/>
                                <w:szCs w:val="32"/>
                              </w:rPr>
                              <w:t>5G基站5万个，到2025年底根据业务发展需求再建设5G基站2万个，打造全国领先的5G精品网络。</w:t>
                            </w:r>
                          </w:p>
                          <w:p>
                            <w:pPr>
                              <w:spacing w:line="360" w:lineRule="auto"/>
                              <w:ind w:firstLine="480" w:firstLineChars="200"/>
                              <w:rPr>
                                <w:rFonts w:eastAsia="仿宋"/>
                                <w:sz w:val="24"/>
                                <w:szCs w:val="32"/>
                              </w:rPr>
                            </w:pPr>
                            <w:r>
                              <w:rPr>
                                <w:rFonts w:hint="eastAsia" w:eastAsia="仿宋"/>
                                <w:sz w:val="24"/>
                                <w:szCs w:val="32"/>
                              </w:rPr>
                              <w:t>2.</w:t>
                            </w:r>
                            <w:r>
                              <w:rPr>
                                <w:rFonts w:eastAsia="仿宋"/>
                                <w:sz w:val="24"/>
                                <w:szCs w:val="32"/>
                              </w:rPr>
                              <w:t>优化大数据中心建设。优化数据中心建设布局，健全全市信息资源统一共享交换平台。大力发展新型智能化计算设施，支持绿色数据中心建设，有效提升海量信息交换和数据存储能力，培育一批数据资源服务提供商和数据服务龙头企业。构建网络安全保障体系，确保数字基础设施安全稳定可靠运行。</w:t>
                            </w:r>
                          </w:p>
                          <w:p>
                            <w:pPr>
                              <w:spacing w:line="360" w:lineRule="auto"/>
                              <w:ind w:firstLine="480" w:firstLineChars="200"/>
                              <w:rPr>
                                <w:rFonts w:eastAsia="仿宋"/>
                                <w:sz w:val="24"/>
                                <w:szCs w:val="32"/>
                              </w:rPr>
                            </w:pPr>
                            <w:r>
                              <w:rPr>
                                <w:rFonts w:hint="eastAsia" w:eastAsia="仿宋"/>
                                <w:sz w:val="24"/>
                                <w:szCs w:val="32"/>
                              </w:rPr>
                              <w:t>3.</w:t>
                            </w:r>
                            <w:r>
                              <w:rPr>
                                <w:rFonts w:eastAsia="仿宋"/>
                                <w:sz w:val="24"/>
                                <w:szCs w:val="32"/>
                              </w:rPr>
                              <w:t>强化互联网支撑能力。推进工业互联网、平台和安全体系建设，开展重点领域试点示范，改造升级工业互联网内外网络，加快建设工业互联网二级解析节点，培育1-2家跨行业跨领域的国家级平台和一批面向特定行业、特定区域、特定场景的企业级平台，大幅提升工业互联网的工业赋能能力。</w:t>
                            </w:r>
                          </w:p>
                          <w:p>
                            <w:pPr>
                              <w:spacing w:line="360" w:lineRule="auto"/>
                              <w:ind w:firstLine="480" w:firstLineChars="200"/>
                              <w:rPr>
                                <w:rFonts w:eastAsia="仿宋"/>
                                <w:sz w:val="28"/>
                                <w:szCs w:val="32"/>
                              </w:rPr>
                            </w:pPr>
                            <w:r>
                              <w:rPr>
                                <w:rFonts w:hint="eastAsia" w:eastAsia="仿宋"/>
                                <w:sz w:val="24"/>
                                <w:szCs w:val="32"/>
                              </w:rPr>
                              <w:t>4.</w:t>
                            </w:r>
                            <w:r>
                              <w:rPr>
                                <w:rFonts w:eastAsia="仿宋"/>
                                <w:sz w:val="24"/>
                                <w:szCs w:val="32"/>
                              </w:rPr>
                              <w:t>打造超算资源算力供给体系。推动超算与智能深度融合，提供多层次智能算力服务，开展基础软硬件应用适配和示范推广工作，发展丰富</w:t>
                            </w:r>
                            <w:r>
                              <w:rPr>
                                <w:rFonts w:ascii="仿宋" w:hAnsi="仿宋" w:eastAsia="仿宋"/>
                                <w:sz w:val="24"/>
                                <w:szCs w:val="32"/>
                              </w:rPr>
                              <w:t>“</w:t>
                            </w:r>
                            <w:r>
                              <w:rPr>
                                <w:rFonts w:eastAsia="仿宋"/>
                                <w:sz w:val="24"/>
                                <w:szCs w:val="32"/>
                              </w:rPr>
                              <w:t>PK体系</w:t>
                            </w:r>
                            <w:r>
                              <w:rPr>
                                <w:rFonts w:ascii="仿宋" w:hAnsi="仿宋" w:eastAsia="仿宋"/>
                                <w:sz w:val="24"/>
                                <w:szCs w:val="32"/>
                              </w:rPr>
                              <w:t>”</w:t>
                            </w:r>
                            <w:r>
                              <w:rPr>
                                <w:rFonts w:eastAsia="仿宋"/>
                                <w:sz w:val="24"/>
                                <w:szCs w:val="32"/>
                              </w:rPr>
                              <w:t>、通用计算和人工智能计算产业生态，促进产业聚集和生态发展。</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4.35pt;margin-top:4.9pt;height:364.5pt;width:438.85pt;mso-position-horizontal-relative:margin;mso-wrap-distance-bottom:0pt;mso-wrap-distance-top:0pt;z-index:251660288;mso-width-relative:page;mso-height-relative:page;" fillcolor="#FFFFFF" filled="t" stroked="t" coordsize="21600,21600" o:gfxdata="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">
                <v:path/>
                <v:fill on="t" focussize="0,0"/>
                <v:stroke weight="0.5pt" joinstyle="round"/>
                <v:imagedata o:title=""/>
                <o:lock v:ext="edit" aspectratio="f"/>
                <v:textbox>
                  <w:txbxContent>
                    <w:p>
                      <w:pPr>
                        <w:jc w:val="center"/>
                        <w:rPr>
                          <w:rFonts w:hint="eastAsia" w:eastAsia="楷体"/>
                          <w:b/>
                          <w:bCs/>
                          <w:sz w:val="28"/>
                          <w:szCs w:val="32"/>
                        </w:rPr>
                      </w:pPr>
                      <w:r>
                        <w:rPr>
                          <w:rFonts w:hint="eastAsia" w:eastAsia="楷体"/>
                          <w:b/>
                          <w:bCs/>
                          <w:sz w:val="28"/>
                          <w:szCs w:val="32"/>
                        </w:rPr>
                        <w:t>专栏5 新一代信息基础设施建设工程</w:t>
                      </w:r>
                    </w:p>
                    <w:p>
                      <w:pPr>
                        <w:spacing w:line="360" w:lineRule="auto"/>
                        <w:ind w:firstLine="480" w:firstLineChars="200"/>
                        <w:rPr>
                          <w:rFonts w:eastAsia="仿宋"/>
                          <w:sz w:val="24"/>
                          <w:szCs w:val="32"/>
                        </w:rPr>
                      </w:pPr>
                      <w:r>
                        <w:rPr>
                          <w:rFonts w:hint="eastAsia" w:eastAsia="仿宋"/>
                          <w:sz w:val="24"/>
                          <w:szCs w:val="32"/>
                        </w:rPr>
                        <w:t>1.</w:t>
                      </w:r>
                      <w:r>
                        <w:rPr>
                          <w:rFonts w:eastAsia="仿宋"/>
                          <w:sz w:val="24"/>
                          <w:szCs w:val="32"/>
                        </w:rPr>
                        <w:t>实施5G移动网络和千兆光纤宽带网络工程。引导基础电信企业加大建设力度，到2022年底累计</w:t>
                      </w:r>
                      <w:r>
                        <w:rPr>
                          <w:rFonts w:hint="eastAsia" w:eastAsia="仿宋"/>
                          <w:sz w:val="24"/>
                          <w:szCs w:val="32"/>
                        </w:rPr>
                        <w:t>建设</w:t>
                      </w:r>
                      <w:r>
                        <w:rPr>
                          <w:rFonts w:eastAsia="仿宋"/>
                          <w:sz w:val="24"/>
                          <w:szCs w:val="32"/>
                        </w:rPr>
                        <w:t>5G基站5万个，到2025年底根据业务发展需求再建设5G基站2万个，打造全国领先的5G精品网络。</w:t>
                      </w:r>
                    </w:p>
                    <w:p>
                      <w:pPr>
                        <w:spacing w:line="360" w:lineRule="auto"/>
                        <w:ind w:firstLine="480" w:firstLineChars="200"/>
                        <w:rPr>
                          <w:rFonts w:eastAsia="仿宋"/>
                          <w:sz w:val="24"/>
                          <w:szCs w:val="32"/>
                        </w:rPr>
                      </w:pPr>
                      <w:r>
                        <w:rPr>
                          <w:rFonts w:hint="eastAsia" w:eastAsia="仿宋"/>
                          <w:sz w:val="24"/>
                          <w:szCs w:val="32"/>
                        </w:rPr>
                        <w:t>2.</w:t>
                      </w:r>
                      <w:r>
                        <w:rPr>
                          <w:rFonts w:eastAsia="仿宋"/>
                          <w:sz w:val="24"/>
                          <w:szCs w:val="32"/>
                        </w:rPr>
                        <w:t>优化大数据中心建设。优化数据中心建设布局，健全全市信息资源统一共享交换平台。大力发展新型智能化计算设施，支持绿色数据中心建设，有效提升海量信息交换和数据存储能力，培育一批数据资源服务提供商和数据服务龙头企业。构建网络安全保障体系，确保数字基础设施安全稳定可靠运行。</w:t>
                      </w:r>
                    </w:p>
                    <w:p>
                      <w:pPr>
                        <w:spacing w:line="360" w:lineRule="auto"/>
                        <w:ind w:firstLine="480" w:firstLineChars="200"/>
                        <w:rPr>
                          <w:rFonts w:eastAsia="仿宋"/>
                          <w:sz w:val="24"/>
                          <w:szCs w:val="32"/>
                        </w:rPr>
                      </w:pPr>
                      <w:r>
                        <w:rPr>
                          <w:rFonts w:hint="eastAsia" w:eastAsia="仿宋"/>
                          <w:sz w:val="24"/>
                          <w:szCs w:val="32"/>
                        </w:rPr>
                        <w:t>3.</w:t>
                      </w:r>
                      <w:r>
                        <w:rPr>
                          <w:rFonts w:eastAsia="仿宋"/>
                          <w:sz w:val="24"/>
                          <w:szCs w:val="32"/>
                        </w:rPr>
                        <w:t>强化互联网支撑能力。推进工业互联网、平台和安全体系建设，开展重点领域试点示范，改造升级工业互联网内外网络，加快建设工业互联网二级解析节点，培育1-2家跨行业跨领域的国家级平台和一批面向特定行业、特定区域、特定场景的企业级平台，大幅提升工业互联网的工业赋能能力。</w:t>
                      </w:r>
                    </w:p>
                    <w:p>
                      <w:pPr>
                        <w:spacing w:line="360" w:lineRule="auto"/>
                        <w:ind w:firstLine="480" w:firstLineChars="200"/>
                        <w:rPr>
                          <w:rFonts w:eastAsia="仿宋"/>
                          <w:sz w:val="28"/>
                          <w:szCs w:val="32"/>
                        </w:rPr>
                      </w:pPr>
                      <w:r>
                        <w:rPr>
                          <w:rFonts w:hint="eastAsia" w:eastAsia="仿宋"/>
                          <w:sz w:val="24"/>
                          <w:szCs w:val="32"/>
                        </w:rPr>
                        <w:t>4.</w:t>
                      </w:r>
                      <w:r>
                        <w:rPr>
                          <w:rFonts w:eastAsia="仿宋"/>
                          <w:sz w:val="24"/>
                          <w:szCs w:val="32"/>
                        </w:rPr>
                        <w:t>打造超算资源算力供给体系。推动超算与智能深度融合，提供多层次智能算力服务，开展基础软硬件应用适配和示范推广工作，发展丰富</w:t>
                      </w:r>
                      <w:r>
                        <w:rPr>
                          <w:rFonts w:ascii="仿宋" w:hAnsi="仿宋" w:eastAsia="仿宋"/>
                          <w:sz w:val="24"/>
                          <w:szCs w:val="32"/>
                        </w:rPr>
                        <w:t>“</w:t>
                      </w:r>
                      <w:r>
                        <w:rPr>
                          <w:rFonts w:eastAsia="仿宋"/>
                          <w:sz w:val="24"/>
                          <w:szCs w:val="32"/>
                        </w:rPr>
                        <w:t>PK体系</w:t>
                      </w:r>
                      <w:r>
                        <w:rPr>
                          <w:rFonts w:ascii="仿宋" w:hAnsi="仿宋" w:eastAsia="仿宋"/>
                          <w:sz w:val="24"/>
                          <w:szCs w:val="32"/>
                        </w:rPr>
                        <w:t>”</w:t>
                      </w:r>
                      <w:r>
                        <w:rPr>
                          <w:rFonts w:eastAsia="仿宋"/>
                          <w:sz w:val="24"/>
                          <w:szCs w:val="32"/>
                        </w:rPr>
                        <w:t>、通用计算和人工智能计算产业生态，促进产业聚集和生态发展。</w:t>
                      </w:r>
                    </w:p>
                  </w:txbxContent>
                </v:textbox>
                <w10:wrap type="topAndBottom"/>
              </v:shape>
            </w:pict>
          </mc:Fallback>
        </mc:AlternateContent>
      </w:r>
      <w:r>
        <w:rPr>
          <w:rFonts w:eastAsia="仿宋_GB2312"/>
          <w:sz w:val="32"/>
          <w:szCs w:val="32"/>
        </w:rPr>
        <w:t xml:space="preserve">    </w:t>
      </w:r>
      <w:r>
        <w:rPr>
          <w:rFonts w:hint="eastAsia" w:eastAsia="仿宋_GB2312"/>
          <w:bCs/>
          <w:sz w:val="32"/>
          <w:szCs w:val="32"/>
        </w:rPr>
        <w:t>建设</w:t>
      </w:r>
      <w:r>
        <w:rPr>
          <w:rFonts w:eastAsia="仿宋_GB2312"/>
          <w:bCs/>
          <w:sz w:val="32"/>
          <w:szCs w:val="32"/>
        </w:rPr>
        <w:t>畅通便捷的现代化综合交通运输体系。</w:t>
      </w:r>
      <w:r>
        <w:rPr>
          <w:rFonts w:hint="eastAsia" w:eastAsia="仿宋_GB2312"/>
          <w:bCs/>
          <w:sz w:val="32"/>
          <w:szCs w:val="32"/>
        </w:rPr>
        <w:t>建设</w:t>
      </w:r>
      <w:r>
        <w:rPr>
          <w:rFonts w:eastAsia="仿宋_GB2312"/>
          <w:bCs/>
          <w:sz w:val="32"/>
          <w:szCs w:val="32"/>
        </w:rPr>
        <w:t>世界一流智慧绿色枢纽港口，提高海陆双向开放水平，增强港口辐射带动作用。打造与北京双机场错位发展、优势互补的区域枢纽机场，加快建设国际航空物流中心。</w:t>
      </w:r>
      <w:r>
        <w:rPr>
          <w:rFonts w:eastAsia="仿宋_GB2312"/>
          <w:sz w:val="32"/>
          <w:szCs w:val="32"/>
        </w:rPr>
        <w:t>融入国家物流枢纽设施、骨干线路，建设区域分拨中心和末端配送节点，完善物流枢纽、骨干冷链物流基地设施条件，降低物流成本、提高物流效率。</w:t>
      </w:r>
      <w:r>
        <w:rPr>
          <w:rFonts w:eastAsia="仿宋_GB2312"/>
          <w:bCs/>
          <w:sz w:val="32"/>
          <w:szCs w:val="32"/>
        </w:rPr>
        <w:t>打造国家铁路客运枢纽。</w:t>
      </w:r>
    </w:p>
    <w:p>
      <w:pPr>
        <w:spacing w:line="580" w:lineRule="exact"/>
        <w:rPr>
          <w:rFonts w:eastAsia="仿宋_GB2312"/>
          <w:sz w:val="32"/>
          <w:szCs w:val="32"/>
          <w:u w:val="single"/>
        </w:rPr>
      </w:pPr>
      <w:r>
        <w:rPr>
          <w:rFonts w:eastAsia="仿宋_GB2312"/>
          <w:sz w:val="32"/>
          <w:szCs w:val="32"/>
        </w:rPr>
        <w:t xml:space="preserve">    落实城区“窄路密网”理念，围绕增强居民舒适感和沿街商户聚客效应，调整城市街道功能配置，优化街头绿化布局，增加非机动车道和停车设施有效供给，强化人、路、商“三位一体”有机融合。</w:t>
      </w:r>
      <w:r>
        <w:rPr>
          <w:rFonts w:eastAsia="仿宋_GB2312"/>
          <w:bCs/>
          <w:sz w:val="32"/>
          <w:szCs w:val="32"/>
        </w:rPr>
        <w:t>针对老城区功能偏离需求、利用效率低下、环境品质不高的存量片区，推进以老旧小区、老旧厂区、老旧街区、城中村等“三区一村”改造为主要内容的城市更新行动，复兴老旧空间、提升功能品质、释放发展活力。</w:t>
      </w:r>
      <w:r>
        <w:rPr>
          <w:rFonts w:eastAsia="仿宋_GB2312"/>
          <w:sz w:val="32"/>
          <w:szCs w:val="32"/>
        </w:rPr>
        <w:t>将老旧厂区等“工业锈带”改造为“生活秀带”、双创空间、新型产业空间或文化旅游场地。强化城市生活服务功能，允许通过规划调整、功能置换，转换建设用地用途，转变空间功能，通过土地临时占用、房屋租用等方式，有效盘活中心城区内的“僵尸”地块和“拆花”地段等空闲土地和房屋资源。</w:t>
      </w:r>
    </w:p>
    <w:p>
      <w:pPr>
        <w:spacing w:line="580" w:lineRule="exact"/>
        <w:ind w:firstLine="640" w:firstLineChars="200"/>
        <w:rPr>
          <w:rFonts w:hint="eastAsia" w:eastAsia="仿宋_GB2312"/>
          <w:bCs/>
          <w:sz w:val="32"/>
          <w:szCs w:val="32"/>
        </w:rPr>
      </w:pPr>
      <w:r>
        <w:rPr>
          <w:rFonts w:eastAsia="仿宋_GB2312"/>
          <w:bCs/>
          <w:sz w:val="32"/>
          <w:szCs w:val="32"/>
        </w:rPr>
        <w:t>4.强化城市产业的就业支撑</w:t>
      </w:r>
    </w:p>
    <w:p>
      <w:pPr>
        <w:spacing w:line="580" w:lineRule="exact"/>
        <w:ind w:firstLine="640" w:firstLineChars="200"/>
        <w:rPr>
          <w:rFonts w:eastAsia="仿宋_GB2312"/>
          <w:bCs/>
          <w:sz w:val="32"/>
          <w:szCs w:val="32"/>
        </w:rPr>
      </w:pPr>
      <w:r>
        <w:rPr>
          <w:rFonts w:eastAsia="仿宋_GB2312"/>
          <w:bCs/>
          <w:sz w:val="32"/>
          <w:szCs w:val="32"/>
        </w:rPr>
        <w:t>营造一流的国际营商环境。对标国际规则，持续推进自由贸易试验区、改革开放先行区和国家自主创新示范区制度创新。全面提高政务服务质效，深化</w:t>
      </w:r>
      <w:r>
        <w:rPr>
          <w:rFonts w:eastAsia="仿宋"/>
          <w:bCs/>
          <w:sz w:val="32"/>
          <w:szCs w:val="32"/>
        </w:rPr>
        <w:t>“</w:t>
      </w:r>
      <w:r>
        <w:rPr>
          <w:rFonts w:eastAsia="仿宋_GB2312"/>
          <w:bCs/>
          <w:sz w:val="32"/>
          <w:szCs w:val="32"/>
        </w:rPr>
        <w:t>放管服</w:t>
      </w:r>
      <w:r>
        <w:rPr>
          <w:rFonts w:eastAsia="仿宋"/>
          <w:bCs/>
          <w:sz w:val="32"/>
          <w:szCs w:val="32"/>
        </w:rPr>
        <w:t>”</w:t>
      </w:r>
      <w:r>
        <w:rPr>
          <w:rFonts w:eastAsia="仿宋_GB2312"/>
          <w:bCs/>
          <w:sz w:val="32"/>
          <w:szCs w:val="32"/>
        </w:rPr>
        <w:t>改革，做到</w:t>
      </w:r>
      <w:r>
        <w:rPr>
          <w:rFonts w:eastAsia="仿宋"/>
          <w:bCs/>
          <w:sz w:val="32"/>
          <w:szCs w:val="32"/>
        </w:rPr>
        <w:t>“</w:t>
      </w:r>
      <w:r>
        <w:rPr>
          <w:rFonts w:eastAsia="仿宋_GB2312"/>
          <w:bCs/>
          <w:sz w:val="32"/>
          <w:szCs w:val="32"/>
        </w:rPr>
        <w:t>无事不扰、有求必应</w:t>
      </w:r>
      <w:r>
        <w:rPr>
          <w:rFonts w:eastAsia="仿宋"/>
          <w:bCs/>
          <w:sz w:val="32"/>
          <w:szCs w:val="32"/>
        </w:rPr>
        <w:t>”</w:t>
      </w:r>
      <w:r>
        <w:rPr>
          <w:rFonts w:eastAsia="仿宋_GB2312"/>
          <w:bCs/>
          <w:sz w:val="32"/>
          <w:szCs w:val="32"/>
        </w:rPr>
        <w:t>。持续深化</w:t>
      </w:r>
      <w:r>
        <w:rPr>
          <w:rFonts w:eastAsia="仿宋"/>
          <w:bCs/>
          <w:sz w:val="32"/>
          <w:szCs w:val="32"/>
        </w:rPr>
        <w:t>“</w:t>
      </w:r>
      <w:r>
        <w:rPr>
          <w:rFonts w:eastAsia="仿宋_GB2312"/>
          <w:bCs/>
          <w:sz w:val="32"/>
          <w:szCs w:val="32"/>
        </w:rPr>
        <w:t>一制三化</w:t>
      </w:r>
      <w:r>
        <w:rPr>
          <w:rFonts w:eastAsia="仿宋"/>
          <w:bCs/>
          <w:sz w:val="32"/>
          <w:szCs w:val="32"/>
        </w:rPr>
        <w:t>”</w:t>
      </w:r>
      <w:r>
        <w:rPr>
          <w:rFonts w:eastAsia="仿宋_GB2312"/>
          <w:bCs/>
          <w:sz w:val="32"/>
          <w:szCs w:val="32"/>
        </w:rPr>
        <w:t>审批制度改革，不断推进</w:t>
      </w:r>
      <w:r>
        <w:rPr>
          <w:rFonts w:eastAsia="仿宋"/>
          <w:bCs/>
          <w:sz w:val="32"/>
          <w:szCs w:val="32"/>
        </w:rPr>
        <w:t>“</w:t>
      </w:r>
      <w:r>
        <w:rPr>
          <w:rFonts w:eastAsia="仿宋_GB2312"/>
          <w:bCs/>
          <w:sz w:val="32"/>
          <w:szCs w:val="32"/>
        </w:rPr>
        <w:t>证照分离</w:t>
      </w:r>
      <w:r>
        <w:rPr>
          <w:rFonts w:eastAsia="仿宋"/>
          <w:bCs/>
          <w:sz w:val="32"/>
          <w:szCs w:val="32"/>
        </w:rPr>
        <w:t>”</w:t>
      </w:r>
      <w:r>
        <w:rPr>
          <w:rFonts w:eastAsia="仿宋_GB2312"/>
          <w:bCs/>
          <w:sz w:val="32"/>
          <w:szCs w:val="32"/>
        </w:rPr>
        <w:t>。深入实施市场准入负面清单制度，落实</w:t>
      </w:r>
      <w:r>
        <w:rPr>
          <w:rFonts w:eastAsia="仿宋"/>
          <w:bCs/>
          <w:sz w:val="32"/>
          <w:szCs w:val="32"/>
        </w:rPr>
        <w:t>“</w:t>
      </w:r>
      <w:r>
        <w:rPr>
          <w:rFonts w:eastAsia="仿宋_GB2312"/>
          <w:bCs/>
          <w:sz w:val="32"/>
          <w:szCs w:val="32"/>
        </w:rPr>
        <w:t>全国一张单</w:t>
      </w:r>
      <w:r>
        <w:rPr>
          <w:rFonts w:eastAsia="仿宋"/>
          <w:bCs/>
          <w:sz w:val="32"/>
          <w:szCs w:val="32"/>
        </w:rPr>
        <w:t>”</w:t>
      </w:r>
      <w:r>
        <w:rPr>
          <w:rFonts w:eastAsia="仿宋_GB2312"/>
          <w:bCs/>
          <w:sz w:val="32"/>
          <w:szCs w:val="32"/>
        </w:rPr>
        <w:t>管理模式，深化生产许可证制度改革，推动</w:t>
      </w:r>
      <w:r>
        <w:rPr>
          <w:rFonts w:eastAsia="仿宋"/>
          <w:bCs/>
          <w:sz w:val="32"/>
          <w:szCs w:val="32"/>
        </w:rPr>
        <w:t>“</w:t>
      </w:r>
      <w:r>
        <w:rPr>
          <w:rFonts w:eastAsia="仿宋_GB2312"/>
          <w:bCs/>
          <w:sz w:val="32"/>
          <w:szCs w:val="32"/>
        </w:rPr>
        <w:t>非禁即入</w:t>
      </w:r>
      <w:r>
        <w:rPr>
          <w:rFonts w:eastAsia="仿宋"/>
          <w:bCs/>
          <w:sz w:val="32"/>
          <w:szCs w:val="32"/>
        </w:rPr>
        <w:t>”</w:t>
      </w:r>
      <w:r>
        <w:rPr>
          <w:rFonts w:eastAsia="仿宋_GB2312"/>
          <w:bCs/>
          <w:sz w:val="32"/>
          <w:szCs w:val="32"/>
        </w:rPr>
        <w:t>普遍落实。清理废除妨碍统一市场和公平竞争的各种规定和做法，营造规则统一、标准互认、监管一体、要素自由流动的开放市场环境，确保各类市场主体平等获取要素资源、享受支持政策等方面的公平待遇和合法权益，激发各类市场主体活力，扩大就业容量。</w:t>
      </w:r>
    </w:p>
    <w:p>
      <w:pPr>
        <w:spacing w:line="580" w:lineRule="exact"/>
        <w:ind w:firstLine="640" w:firstLineChars="200"/>
        <w:rPr>
          <w:rFonts w:eastAsia="仿宋_GB2312"/>
          <w:bCs/>
          <w:sz w:val="32"/>
          <w:szCs w:val="32"/>
        </w:rPr>
      </w:pPr>
      <w:r>
        <w:rPr>
          <w:rFonts w:eastAsia="仿宋_GB2312"/>
          <w:bCs/>
          <w:sz w:val="32"/>
          <w:szCs w:val="32"/>
        </w:rPr>
        <w:t>培育国内第一方阵的核心产业竞争力。着力构建</w:t>
      </w:r>
      <w:r>
        <w:rPr>
          <w:rFonts w:eastAsia="仿宋"/>
          <w:bCs/>
          <w:sz w:val="32"/>
          <w:szCs w:val="32"/>
        </w:rPr>
        <w:t>“</w:t>
      </w:r>
      <w:r>
        <w:rPr>
          <w:rFonts w:eastAsia="仿宋_GB2312"/>
          <w:bCs/>
          <w:sz w:val="32"/>
          <w:szCs w:val="32"/>
        </w:rPr>
        <w:t>1+3+4</w:t>
      </w:r>
      <w:r>
        <w:rPr>
          <w:rFonts w:eastAsia="仿宋"/>
          <w:bCs/>
          <w:sz w:val="32"/>
          <w:szCs w:val="32"/>
        </w:rPr>
        <w:t>”</w:t>
      </w:r>
      <w:r>
        <w:rPr>
          <w:rFonts w:eastAsia="仿宋_GB2312"/>
          <w:bCs/>
          <w:sz w:val="32"/>
          <w:szCs w:val="32"/>
        </w:rPr>
        <w:t>现代工业产业体系。大力发展智能科技产业，培育壮大生物医药、新能源、新材料等新兴产业，巩固提升装备制造、汽车、石油化工、航空航天等优势产业，优化发展冶金、轻纺等传统工业。大力促进新一代信息产业与制造业深度融合发展，加快先进制造业与现代服务业深度融合发展。强化产业技术供给体系，促进资源配置从以研发环节为主向产业链、创新链、资金链统筹配置转变，注重产业体系建设与创新能力培育之间的协同发展。</w:t>
      </w:r>
    </w:p>
    <w:p>
      <w:pPr>
        <w:spacing w:line="580" w:lineRule="exact"/>
        <w:ind w:firstLine="640" w:firstLineChars="200"/>
        <w:rPr>
          <w:rFonts w:eastAsia="仿宋_GB2312"/>
          <w:bCs/>
          <w:sz w:val="32"/>
          <w:szCs w:val="32"/>
        </w:rPr>
      </w:pPr>
      <w:r>
        <w:rPr>
          <w:rFonts w:eastAsia="仿宋_GB2312"/>
          <w:bCs/>
          <w:sz w:val="32"/>
          <w:szCs w:val="32"/>
        </w:rPr>
        <w:t>增强城市创新能力。营造敢为人先的城市创新创业氛围，建设创新创业载体。强化国家自主创新示范区、高新技术产业开发区、经济技术开发区等创新功能。发展实验室、工程研究中心和企业技术中心等科技创新基地。打造自主创新重要源头和原始创新主要策源地。充分对接北京全国科技创新中心的优势资源，围绕重点产业和公共服务领域，加大对科技成果转化中试基地支持力度，加快推动科技成果落地转化。完善天津市技术转移体系，建立市、区（园区）、重点机构三级线上线下有机融合的技术转移网络，发展技术交易市场。积极构建涵盖公共技术平台、公共实验室、投融资、技术产权交易、质量认证、综合培训等高层次服务功能的科技服务产业链。打造创新企业集群，采用后补助、贷款贴息、追加投资等发放方式支持创新型企业发展，引进具有全球影响力的</w:t>
      </w:r>
      <w:r>
        <w:rPr>
          <w:rFonts w:eastAsia="仿宋"/>
          <w:bCs/>
          <w:sz w:val="32"/>
          <w:szCs w:val="32"/>
        </w:rPr>
        <w:t>“</w:t>
      </w:r>
      <w:r>
        <w:rPr>
          <w:rFonts w:eastAsia="仿宋_GB2312"/>
          <w:bCs/>
          <w:sz w:val="32"/>
          <w:szCs w:val="32"/>
        </w:rPr>
        <w:t>引擎式</w:t>
      </w:r>
      <w:r>
        <w:rPr>
          <w:rFonts w:eastAsia="仿宋"/>
          <w:bCs/>
          <w:sz w:val="32"/>
          <w:szCs w:val="32"/>
        </w:rPr>
        <w:t>”</w:t>
      </w:r>
      <w:r>
        <w:rPr>
          <w:rFonts w:eastAsia="仿宋_GB2312"/>
          <w:bCs/>
          <w:sz w:val="32"/>
          <w:szCs w:val="32"/>
        </w:rPr>
        <w:t>创新企业，促进科技型、创新型中小企业持续涌现。充分发挥国家高新区及自贸区等带动作用，推进新兴技术突破与新兴产业培育，推进产业发展质量升级。</w:t>
      </w:r>
    </w:p>
    <w:p>
      <w:pPr>
        <w:spacing w:line="580" w:lineRule="exact"/>
        <w:rPr>
          <w:rFonts w:hint="eastAsia" w:eastAsia="仿宋_GB2312"/>
          <w:bCs/>
          <w:sz w:val="32"/>
          <w:szCs w:val="32"/>
        </w:rPr>
      </w:pPr>
      <w:r>
        <w:rPr>
          <w:rFonts w:eastAsia="仿宋_GB2312"/>
          <w:bCs/>
          <w:sz w:val="32"/>
          <w:szCs w:val="32"/>
        </w:rPr>
        <w:t xml:space="preserve">    5.完善城市住房供应和保障体系</w:t>
      </w:r>
    </w:p>
    <w:p>
      <w:pPr>
        <w:spacing w:line="580" w:lineRule="exact"/>
        <w:rPr>
          <w:rFonts w:eastAsia="仿宋_GB2312"/>
          <w:bCs/>
          <w:sz w:val="32"/>
          <w:szCs w:val="32"/>
        </w:rPr>
      </w:pPr>
      <w:r>
        <w:rPr>
          <w:rFonts w:eastAsia="仿宋_GB2312"/>
          <w:bCs/>
          <w:sz w:val="32"/>
          <w:szCs w:val="32"/>
        </w:rPr>
        <w:t xml:space="preserve">    坚持</w:t>
      </w:r>
      <w:r>
        <w:rPr>
          <w:rFonts w:hint="eastAsia" w:eastAsia="仿宋_GB2312"/>
          <w:bCs/>
          <w:sz w:val="32"/>
          <w:szCs w:val="32"/>
        </w:rPr>
        <w:t>“</w:t>
      </w:r>
      <w:r>
        <w:rPr>
          <w:rFonts w:eastAsia="仿宋_GB2312"/>
          <w:bCs/>
          <w:sz w:val="32"/>
          <w:szCs w:val="32"/>
        </w:rPr>
        <w:t>房子是用来住的、不是用来炒的</w:t>
      </w:r>
      <w:r>
        <w:rPr>
          <w:rFonts w:hint="eastAsia" w:eastAsia="仿宋_GB2312"/>
          <w:bCs/>
          <w:sz w:val="32"/>
          <w:szCs w:val="32"/>
        </w:rPr>
        <w:t>”</w:t>
      </w:r>
      <w:r>
        <w:rPr>
          <w:rFonts w:eastAsia="仿宋_GB2312"/>
          <w:bCs/>
          <w:sz w:val="32"/>
          <w:szCs w:val="32"/>
        </w:rPr>
        <w:t>定位，加快建立多主体供给、多渠道保障、租购并举的住房制度，让人民群众住有所居、职住平衡。坚持因地制宜、多策并举，夯实各区政府主体责任，稳定地价、房价和预期。建立住房和土地联动机制，加强房地产金融调控，发挥住房税收调节作用，支持合理自住需求，遏制投资投机性需求。培育发展住房租赁市场，有效盘活存量住房资源，扩大城市租赁住房供给，完善长租房政策，逐步使租购住房在享受公共服务上具有同等权利。加快住房租赁制度建设，加强租赁市场监管，保障承租人和出租人合法权益。有效增加保障性住房供给，完善住房保障基础性制度和支持政策，着力解决困难群体和新市民住房问题。单列租赁住房用地计划。健全住房公积金缴存、使用、管理和运作机制，提升住房公积金管理服务水平。</w:t>
      </w:r>
    </w:p>
    <w:p>
      <w:pPr>
        <w:keepNext/>
        <w:keepLines/>
        <w:spacing w:line="580" w:lineRule="exact"/>
        <w:ind w:firstLine="640" w:firstLineChars="200"/>
        <w:outlineLvl w:val="2"/>
        <w:rPr>
          <w:rFonts w:eastAsia="楷体"/>
          <w:sz w:val="32"/>
          <w:szCs w:val="32"/>
        </w:rPr>
      </w:pPr>
      <w:r>
        <w:rPr>
          <w:rFonts w:eastAsia="楷体"/>
          <w:sz w:val="32"/>
          <w:szCs w:val="32"/>
        </w:rPr>
        <w:t>（五）探索安全智能高效的超大城市社会治理体系</w:t>
      </w:r>
    </w:p>
    <w:p>
      <w:pPr>
        <w:spacing w:line="580" w:lineRule="exact"/>
        <w:ind w:firstLine="640" w:firstLineChars="200"/>
        <w:rPr>
          <w:rFonts w:hint="eastAsia" w:eastAsia="仿宋_GB2312"/>
          <w:bCs/>
          <w:sz w:val="32"/>
          <w:szCs w:val="32"/>
        </w:rPr>
      </w:pPr>
      <w:r>
        <w:rPr>
          <w:rFonts w:eastAsia="仿宋_GB2312"/>
          <w:bCs/>
          <w:sz w:val="32"/>
          <w:szCs w:val="32"/>
        </w:rPr>
        <w:t>1.建立智能化的超大城市治理模式</w:t>
      </w:r>
    </w:p>
    <w:p>
      <w:pPr>
        <w:spacing w:line="580" w:lineRule="exact"/>
        <w:ind w:firstLine="640" w:firstLineChars="200"/>
        <w:rPr>
          <w:rFonts w:eastAsia="仿宋_GB2312"/>
          <w:bCs/>
          <w:sz w:val="32"/>
          <w:szCs w:val="32"/>
        </w:rPr>
      </w:pPr>
      <w:r>
        <w:rPr>
          <w:rFonts w:eastAsia="仿宋_GB2312"/>
          <w:bCs/>
          <w:sz w:val="32"/>
          <w:szCs w:val="32"/>
        </w:rPr>
        <w:t>推进</w:t>
      </w:r>
      <w:r>
        <w:rPr>
          <w:rFonts w:eastAsia="仿宋"/>
          <w:bCs/>
          <w:sz w:val="32"/>
          <w:szCs w:val="32"/>
        </w:rPr>
        <w:t>“</w:t>
      </w:r>
      <w:r>
        <w:rPr>
          <w:rFonts w:eastAsia="仿宋_GB2312"/>
          <w:bCs/>
          <w:sz w:val="32"/>
          <w:szCs w:val="32"/>
        </w:rPr>
        <w:t>城市大脑</w:t>
      </w:r>
      <w:r>
        <w:rPr>
          <w:rFonts w:eastAsia="仿宋"/>
          <w:bCs/>
          <w:sz w:val="32"/>
          <w:szCs w:val="32"/>
        </w:rPr>
        <w:t>”</w:t>
      </w:r>
      <w:r>
        <w:rPr>
          <w:rFonts w:eastAsia="仿宋_GB2312"/>
          <w:bCs/>
          <w:sz w:val="32"/>
          <w:szCs w:val="32"/>
        </w:rPr>
        <w:t>建设，加速大数据、物联网、云计算、区块链等前沿技术在社会治理、民生服务和经济发展等领域的智慧应用场景建设，探索智慧化手段化解大城市病的创新路径。构建城市数字资源体系，提升城市整体运行管理、决策辅助和应急处置能力。探索建设“数字孪生城市”，建立城市公共设施数字档案。打破城市各领域“信息孤岛”，完善城市数字化管理平台和感知系统，建设跨部门、跨区域、跨层级一体化自助终端，实现卫生健康、公共安全、应急管理、交通运输等领域信息整合，提升全市信息资源统一共享交换平台和统一开放平台能力，建立统一的数据标准、系统结构和管理规范。深化政务服务</w:t>
      </w:r>
      <w:r>
        <w:rPr>
          <w:rFonts w:eastAsia="仿宋"/>
          <w:bCs/>
          <w:sz w:val="32"/>
          <w:szCs w:val="32"/>
        </w:rPr>
        <w:t>“</w:t>
      </w:r>
      <w:r>
        <w:rPr>
          <w:rFonts w:eastAsia="仿宋_GB2312"/>
          <w:bCs/>
          <w:sz w:val="32"/>
          <w:szCs w:val="32"/>
        </w:rPr>
        <w:t>一网通办</w:t>
      </w:r>
      <w:r>
        <w:rPr>
          <w:rFonts w:eastAsia="仿宋"/>
          <w:bCs/>
          <w:sz w:val="32"/>
          <w:szCs w:val="32"/>
        </w:rPr>
        <w:t>”</w:t>
      </w:r>
      <w:r>
        <w:rPr>
          <w:rFonts w:eastAsia="仿宋_GB2312"/>
          <w:bCs/>
          <w:sz w:val="32"/>
          <w:szCs w:val="32"/>
        </w:rPr>
        <w:t>、城市运行</w:t>
      </w:r>
      <w:r>
        <w:rPr>
          <w:rFonts w:eastAsia="仿宋"/>
          <w:bCs/>
          <w:sz w:val="32"/>
          <w:szCs w:val="32"/>
        </w:rPr>
        <w:t>“</w:t>
      </w:r>
      <w:r>
        <w:rPr>
          <w:rFonts w:eastAsia="仿宋_GB2312"/>
          <w:bCs/>
          <w:sz w:val="32"/>
          <w:szCs w:val="32"/>
        </w:rPr>
        <w:t>一网统管</w:t>
      </w:r>
      <w:r>
        <w:rPr>
          <w:rFonts w:eastAsia="仿宋"/>
          <w:bCs/>
          <w:sz w:val="32"/>
          <w:szCs w:val="32"/>
        </w:rPr>
        <w:t>”</w:t>
      </w:r>
      <w:r>
        <w:rPr>
          <w:rFonts w:eastAsia="仿宋_GB2312"/>
          <w:bCs/>
          <w:sz w:val="32"/>
          <w:szCs w:val="32"/>
        </w:rPr>
        <w:t>，推进社保、民政、工商、税务、证照证明等服务的智慧化应用，实现公共设施的智慧化运行管护。构筑美好数字生活新图景，发展远程办公、远程教育、远程医疗、智慧出行、智慧文旅、智慧楼宇、智慧社区和无人驾驶。探索符合超大城市特点和规律的治理新路，让城市治理由被动处置型向主动发现型转变。</w:t>
      </w:r>
    </w:p>
    <w:p>
      <w:pPr>
        <w:spacing w:line="580" w:lineRule="exact"/>
        <w:ind w:firstLine="640" w:firstLineChars="200"/>
        <w:rPr>
          <w:rFonts w:hint="eastAsia" w:eastAsia="仿宋_GB2312"/>
          <w:bCs/>
          <w:sz w:val="32"/>
          <w:szCs w:val="32"/>
        </w:rPr>
      </w:pPr>
      <w:r>
        <w:rPr>
          <w:rFonts w:eastAsia="仿宋_GB2312"/>
          <w:bCs/>
          <w:sz w:val="32"/>
          <w:szCs w:val="32"/>
        </w:rPr>
        <w:t>2.持续完善高效化的城市社会治理路径</w:t>
      </w:r>
    </w:p>
    <w:p>
      <w:pPr>
        <w:spacing w:line="580" w:lineRule="exact"/>
        <w:ind w:firstLine="640" w:firstLineChars="200"/>
        <w:rPr>
          <w:rFonts w:eastAsia="仿宋_GB2312"/>
          <w:bCs/>
          <w:sz w:val="32"/>
          <w:szCs w:val="32"/>
        </w:rPr>
      </w:pPr>
      <w:r>
        <w:rPr>
          <w:rFonts w:eastAsia="仿宋_GB2312"/>
          <w:bCs/>
          <w:sz w:val="32"/>
          <w:szCs w:val="32"/>
        </w:rPr>
        <w:t>建设政府负责、社会协同、公众参与、法治保障的社会治理体制，明确各级政府的社会治理职能，努力打造权责明晰、高效联动、上下贯通、运转灵活的社会治理指挥体系，将社会治理重心向基层下沉，加快推进街镇机构改革，健全各级社会治理工作协调机制，有效提高社会政府治理的效率。健全城市管理综合执法机制，强化市政、交通、市场监管等部门协同，明确执法权责和行为规范，提升执法人员文明执法、规范执法水平。</w:t>
      </w:r>
    </w:p>
    <w:p>
      <w:pPr>
        <w:spacing w:line="580" w:lineRule="exact"/>
        <w:ind w:firstLine="640" w:firstLineChars="200"/>
        <w:rPr>
          <w:rFonts w:eastAsia="仿宋_GB2312"/>
          <w:bCs/>
          <w:sz w:val="32"/>
          <w:szCs w:val="32"/>
        </w:rPr>
      </w:pPr>
      <w:r>
        <w:rPr>
          <w:rFonts w:eastAsia="仿宋_GB2312"/>
          <w:bCs/>
          <w:sz w:val="32"/>
          <w:szCs w:val="32"/>
        </w:rPr>
        <w:t>改善城市社区治理模式，强化数字政府建设，将数字技术广泛应用于城市政府管理服务，推动政府治理流程再造和模式优化。推进跨部门、跨层级、跨地区公共数据开放共享和深度利用，逐步将公共数据服务纳入公共服务体系。加强政务信息系统整合共用、快速迭代，提升跨部门协同治理能力。拓展“津治通”应用范围。形成网格化中心、综治中心、雪亮工程指挥应用中心“三位一体”的实战型社会治理枢纽平台，加快推进</w:t>
      </w:r>
      <w:r>
        <w:rPr>
          <w:rFonts w:eastAsia="仿宋"/>
          <w:bCs/>
          <w:sz w:val="32"/>
          <w:szCs w:val="32"/>
        </w:rPr>
        <w:t>“</w:t>
      </w:r>
      <w:r>
        <w:rPr>
          <w:rFonts w:eastAsia="仿宋_GB2312"/>
          <w:bCs/>
          <w:sz w:val="32"/>
          <w:szCs w:val="32"/>
        </w:rPr>
        <w:t>多网格融合</w:t>
      </w:r>
      <w:r>
        <w:rPr>
          <w:rFonts w:eastAsia="仿宋"/>
          <w:bCs/>
          <w:sz w:val="32"/>
          <w:szCs w:val="32"/>
        </w:rPr>
        <w:t>”</w:t>
      </w:r>
      <w:r>
        <w:rPr>
          <w:rFonts w:eastAsia="仿宋_GB2312"/>
          <w:bCs/>
          <w:sz w:val="32"/>
          <w:szCs w:val="32"/>
        </w:rPr>
        <w:t>，提高网格化体系建设水平和社会服务管理水平。</w:t>
      </w:r>
    </w:p>
    <w:p>
      <w:pPr>
        <w:spacing w:line="580" w:lineRule="exact"/>
        <w:ind w:firstLine="640" w:firstLineChars="200"/>
        <w:rPr>
          <w:rFonts w:hint="eastAsia" w:eastAsia="仿宋_GB2312"/>
          <w:bCs/>
          <w:sz w:val="32"/>
          <w:szCs w:val="32"/>
        </w:rPr>
      </w:pPr>
      <w:r>
        <w:rPr>
          <w:rFonts w:eastAsia="仿宋_GB2312"/>
          <w:bCs/>
          <w:sz w:val="32"/>
          <w:szCs w:val="32"/>
        </w:rPr>
        <w:t>3.提升城市的应急治理和风险防控能力</w:t>
      </w:r>
    </w:p>
    <w:p>
      <w:pPr>
        <w:spacing w:line="580" w:lineRule="exact"/>
        <w:ind w:firstLine="640" w:firstLineChars="200"/>
        <w:rPr>
          <w:rFonts w:eastAsia="仿宋_GB2312"/>
          <w:bCs/>
          <w:sz w:val="32"/>
          <w:szCs w:val="32"/>
        </w:rPr>
      </w:pPr>
      <w:r>
        <w:rPr>
          <w:rFonts w:eastAsia="仿宋_GB2312"/>
          <w:bCs/>
          <w:sz w:val="32"/>
          <w:szCs w:val="32"/>
        </w:rPr>
        <w:t>建设安全灵敏的韧性之城。提高既有建筑灾害设防标准、完善防御设施。在人员密集的重点场所及公共交通工具强化安保措施、加强安全巡查。合理布局应急避难场所，强化体育场馆等公共设施和建筑的应急避难功能。</w:t>
      </w:r>
    </w:p>
    <w:p>
      <w:pPr>
        <w:spacing w:line="580" w:lineRule="exact"/>
        <w:ind w:firstLine="640" w:firstLineChars="200"/>
        <w:rPr>
          <w:rFonts w:eastAsia="仿宋_GB2312"/>
          <w:bCs/>
          <w:sz w:val="32"/>
          <w:szCs w:val="32"/>
        </w:rPr>
      </w:pPr>
      <w:r>
        <w:rPr>
          <w:rFonts w:eastAsia="仿宋_GB2312"/>
          <w:bCs/>
          <w:sz w:val="32"/>
          <w:szCs w:val="32"/>
        </w:rPr>
        <w:t>健全重大疫情应急响应机制，提高公共卫生防控救治能力。建设并完善镇街、区、市多级疾病防控体系、重大疫情防控救治体系、公共健康教育体系及公共卫生物资储备体系，提升基层防控能力，完善公立医院传染病救治设施和疾控中心实验室设施，加强业务用房建设和必要设备配置，优化发热门诊等网点布设。预留应急空间，确保新建改建的大型公共设施具备短期内改造为方舱医院的条件。健全传染病疫情和突发公共卫生事件监测系统，完善分级分层分流的疫情救治机制，建立专常兼备、反应灵敏、上下联动的应急响应体系。</w:t>
      </w:r>
    </w:p>
    <w:p>
      <w:pPr>
        <w:spacing w:line="580" w:lineRule="exact"/>
        <w:ind w:firstLine="640" w:firstLineChars="200"/>
        <w:rPr>
          <w:rFonts w:eastAsia="仿宋_GB2312"/>
          <w:bCs/>
          <w:sz w:val="32"/>
          <w:szCs w:val="32"/>
        </w:rPr>
      </w:pPr>
      <w:r>
        <w:rPr>
          <w:rFonts w:eastAsia="仿宋_GB2312"/>
          <w:bCs/>
          <w:sz w:val="32"/>
          <w:szCs w:val="32"/>
        </w:rPr>
        <w:t>加强城市防灾减灾设施建设，提高城市抵御风险和应急保障能力。统筹规划建设城市防洪排涝设施，外防进水、内防积水，提升城市防洪排涝水平，持续推进海绵城市建设，全面落实海绵城市建设理念，城市新区建设要以目标为导向，老城区要以问题为导向，严格落实海绵城市建设要求。</w:t>
      </w:r>
    </w:p>
    <w:p>
      <w:pPr>
        <w:spacing w:line="580" w:lineRule="exact"/>
        <w:rPr>
          <w:rFonts w:hint="eastAsia" w:eastAsia="仿宋_GB2312"/>
          <w:bCs/>
          <w:sz w:val="32"/>
          <w:szCs w:val="32"/>
        </w:rPr>
      </w:pPr>
      <w:r>
        <w:rPr>
          <w:rFonts w:eastAsia="仿宋_GB2312"/>
          <w:bCs/>
          <w:sz w:val="32"/>
          <w:szCs w:val="32"/>
        </w:rPr>
        <w:t xml:space="preserve">    4.拓展城市生态环境的治理思维</w:t>
      </w:r>
    </w:p>
    <w:p>
      <w:pPr>
        <w:spacing w:line="580" w:lineRule="exact"/>
        <w:ind w:firstLine="640" w:firstLineChars="200"/>
        <w:rPr>
          <w:rFonts w:eastAsia="仿宋_GB2312"/>
          <w:bCs/>
          <w:sz w:val="32"/>
          <w:szCs w:val="32"/>
        </w:rPr>
      </w:pPr>
      <w:r>
        <w:rPr>
          <w:rFonts w:eastAsia="仿宋_GB2312"/>
          <w:bCs/>
          <w:sz w:val="32"/>
          <w:szCs w:val="32"/>
        </w:rPr>
        <w:t>坚持生态优先，划定生态保护红线，建设生态魅力之城。划定陆域生态保护红线，系统保护山、水、林、田、湖、海、草等生态本底以及湿地等重点生态资源。划定海洋生态红线区，将重要海洋生态功能区、海洋生态敏感区和海洋生态脆弱区纳入海洋生态红线区管理。强化</w:t>
      </w:r>
      <w:r>
        <w:rPr>
          <w:rFonts w:eastAsia="仿宋"/>
          <w:bCs/>
          <w:sz w:val="32"/>
          <w:szCs w:val="32"/>
        </w:rPr>
        <w:t>“</w:t>
      </w:r>
      <w:r>
        <w:rPr>
          <w:rFonts w:eastAsia="仿宋_GB2312"/>
          <w:bCs/>
          <w:sz w:val="32"/>
          <w:szCs w:val="32"/>
        </w:rPr>
        <w:t>山水林田湖海草</w:t>
      </w:r>
      <w:r>
        <w:rPr>
          <w:rFonts w:eastAsia="仿宋"/>
          <w:bCs/>
          <w:sz w:val="32"/>
          <w:szCs w:val="32"/>
        </w:rPr>
        <w:t>”</w:t>
      </w:r>
      <w:r>
        <w:rPr>
          <w:rFonts w:eastAsia="仿宋_GB2312"/>
          <w:bCs/>
          <w:sz w:val="32"/>
          <w:szCs w:val="32"/>
        </w:rPr>
        <w:t>的系统保护，对接京津冀生态体系，规划构建</w:t>
      </w:r>
      <w:r>
        <w:rPr>
          <w:rFonts w:eastAsia="仿宋"/>
          <w:bCs/>
          <w:sz w:val="32"/>
          <w:szCs w:val="32"/>
        </w:rPr>
        <w:t>“</w:t>
      </w:r>
      <w:r>
        <w:rPr>
          <w:rFonts w:eastAsia="仿宋_GB2312"/>
          <w:bCs/>
          <w:sz w:val="32"/>
          <w:szCs w:val="32"/>
        </w:rPr>
        <w:t>三区两带中屏障</w:t>
      </w:r>
      <w:r>
        <w:rPr>
          <w:rFonts w:eastAsia="仿宋"/>
          <w:bCs/>
          <w:sz w:val="32"/>
          <w:szCs w:val="32"/>
        </w:rPr>
        <w:t>”</w:t>
      </w:r>
      <w:r>
        <w:rPr>
          <w:rFonts w:eastAsia="仿宋_GB2312"/>
          <w:bCs/>
          <w:sz w:val="32"/>
          <w:szCs w:val="32"/>
        </w:rPr>
        <w:t>的市域生态格局。加强河道、湖泊、滨海地带等城市湿地生态和水环境修护，保持原有水面控制率、水网密度和水体自然连通。</w:t>
      </w:r>
    </w:p>
    <w:p>
      <w:pPr>
        <w:spacing w:line="580" w:lineRule="exact"/>
        <w:ind w:firstLine="640" w:firstLineChars="200"/>
        <w:rPr>
          <w:rFonts w:eastAsia="仿宋_GB2312"/>
          <w:bCs/>
          <w:sz w:val="32"/>
          <w:szCs w:val="32"/>
        </w:rPr>
      </w:pPr>
      <w:r>
        <w:rPr>
          <w:rFonts w:eastAsia="仿宋_GB2312"/>
          <w:bCs/>
          <w:sz w:val="32"/>
          <w:szCs w:val="32"/>
        </w:rPr>
        <w:t>加强城市环境保护。高度重视生态环境污染问题，加强治理和维护，从城乡一体和区域协同的角度开展生态环境联防联治联控。坚持</w:t>
      </w:r>
      <w:r>
        <w:rPr>
          <w:rFonts w:eastAsia="仿宋"/>
          <w:bCs/>
          <w:sz w:val="32"/>
          <w:szCs w:val="32"/>
        </w:rPr>
        <w:t>“</w:t>
      </w:r>
      <w:r>
        <w:rPr>
          <w:rFonts w:eastAsia="仿宋_GB2312"/>
          <w:bCs/>
          <w:sz w:val="32"/>
          <w:szCs w:val="32"/>
        </w:rPr>
        <w:t>弹性适应</w:t>
      </w:r>
      <w:r>
        <w:rPr>
          <w:rFonts w:eastAsia="仿宋"/>
          <w:bCs/>
          <w:sz w:val="32"/>
          <w:szCs w:val="32"/>
        </w:rPr>
        <w:t>”</w:t>
      </w:r>
      <w:r>
        <w:rPr>
          <w:rFonts w:eastAsia="仿宋_GB2312"/>
          <w:bCs/>
          <w:sz w:val="32"/>
          <w:szCs w:val="32"/>
        </w:rPr>
        <w:t>发展思维，利用大数据平台，科学预判生态资源演化情形，建立动态评估和反馈机制，提升生态包容性。</w:t>
      </w:r>
      <w:r>
        <w:rPr>
          <w:rFonts w:hint="eastAsia" w:eastAsia="仿宋_GB2312"/>
          <w:bCs/>
          <w:sz w:val="32"/>
          <w:szCs w:val="32"/>
        </w:rPr>
        <w:t>建设</w:t>
      </w:r>
      <w:r>
        <w:rPr>
          <w:rFonts w:eastAsia="仿宋_GB2312"/>
          <w:bCs/>
          <w:sz w:val="32"/>
          <w:szCs w:val="32"/>
        </w:rPr>
        <w:t>分类投放、分类收集、分类运输、分类处理的生活垃圾处理体系，显著提高生活垃圾集中焚烧处理能力。按照“厂网配套、泥水并重”原则，推动污水全收集全处理和污泥全处置。改善空气环境质量，推进细颗粒物</w:t>
      </w:r>
      <w:r>
        <w:rPr>
          <w:rFonts w:eastAsia="仿宋_GB2312"/>
          <w:sz w:val="32"/>
          <w:szCs w:val="32"/>
        </w:rPr>
        <w:t>（PM</w:t>
      </w:r>
      <w:r>
        <w:rPr>
          <w:rFonts w:eastAsia="仿宋_GB2312"/>
          <w:sz w:val="32"/>
          <w:szCs w:val="32"/>
          <w:vertAlign w:val="subscript"/>
        </w:rPr>
        <w:t>2.5</w:t>
      </w:r>
      <w:r>
        <w:rPr>
          <w:rFonts w:eastAsia="仿宋_GB2312"/>
          <w:sz w:val="32"/>
          <w:szCs w:val="32"/>
        </w:rPr>
        <w:t>）和臭氧（O</w:t>
      </w:r>
      <w:r>
        <w:rPr>
          <w:rFonts w:eastAsia="仿宋_GB2312"/>
          <w:sz w:val="32"/>
          <w:szCs w:val="32"/>
          <w:vertAlign w:val="subscript"/>
        </w:rPr>
        <w:t>3</w:t>
      </w:r>
      <w:r>
        <w:rPr>
          <w:rFonts w:eastAsia="仿宋_GB2312"/>
          <w:sz w:val="32"/>
          <w:szCs w:val="32"/>
        </w:rPr>
        <w:t>）</w:t>
      </w:r>
      <w:r>
        <w:rPr>
          <w:rFonts w:eastAsia="仿宋_GB2312"/>
          <w:bCs/>
          <w:sz w:val="32"/>
          <w:szCs w:val="32"/>
        </w:rPr>
        <w:t>协同控制，基本消除重污染天气。加强塑料污染全链条防治。加强环境噪声污染治理。</w:t>
      </w:r>
    </w:p>
    <w:p>
      <w:pPr>
        <w:spacing w:line="580" w:lineRule="exact"/>
        <w:ind w:firstLine="640" w:firstLineChars="200"/>
        <w:rPr>
          <w:rFonts w:eastAsia="仿宋_GB2312"/>
          <w:bCs/>
          <w:sz w:val="32"/>
          <w:szCs w:val="32"/>
        </w:rPr>
      </w:pPr>
      <w:r>
        <w:rPr>
          <w:rFonts w:eastAsia="仿宋_GB2312"/>
          <w:bCs/>
          <w:sz w:val="32"/>
          <w:szCs w:val="32"/>
        </w:rPr>
        <w:t>推进生产生活低碳化改造。发展太阳能光伏和风能利用等分布式能源，完善多能互补、安全清洁的供热供冷体系，推广电力需求侧管理、阶梯电价等机制。推动制造企业进园区，发展再制造产业。新建建筑全面执行绿色建筑标准，推广使用装配式建筑、绿色建材和低碳建材，鼓励建设超低能耗和近零能耗建筑。倡导绿色出行，全面开展“公交都市”建设，推广使用清洁能源车辆，改善步行、自行车出行条件。推进绿色消费，鼓励购买节能节水产品。</w:t>
      </w:r>
    </w:p>
    <w:tbl>
      <w:tblPr>
        <w:tblStyle w:val="2"/>
        <w:tblpPr w:leftFromText="180" w:rightFromText="180" w:vertAnchor="text" w:horzAnchor="page" w:tblpX="1686" w:tblpY="215"/>
        <w:tblOverlap w:val="never"/>
        <w:tblW w:w="8953"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autofit"/>
        <w:tblCellMar>
          <w:top w:w="0" w:type="dxa"/>
          <w:left w:w="108" w:type="dxa"/>
          <w:bottom w:w="0" w:type="dxa"/>
          <w:right w:w="108" w:type="dxa"/>
        </w:tblCellMar>
      </w:tblPr>
      <w:tblGrid>
        <w:gridCol w:w="8953"/>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trHeight w:val="4933" w:hRule="atLeast"/>
        </w:trPr>
        <w:tc>
          <w:tcPr>
            <w:tcW w:w="8953" w:type="dxa"/>
            <w:noWrap w:val="0"/>
            <w:vAlign w:val="top"/>
          </w:tcPr>
          <w:p>
            <w:pPr>
              <w:spacing w:line="580" w:lineRule="exact"/>
              <w:jc w:val="center"/>
              <w:rPr>
                <w:rFonts w:eastAsia="楷体"/>
                <w:b/>
                <w:bCs/>
                <w:sz w:val="28"/>
                <w:szCs w:val="32"/>
              </w:rPr>
            </w:pPr>
            <w:r>
              <w:rPr>
                <w:rFonts w:eastAsia="楷体"/>
                <w:b/>
                <w:bCs/>
                <w:sz w:val="28"/>
                <w:szCs w:val="32"/>
              </w:rPr>
              <w:t>专栏6 生态环境提升代表性拟建项目</w:t>
            </w:r>
          </w:p>
          <w:p>
            <w:pPr>
              <w:spacing w:line="580" w:lineRule="exact"/>
              <w:ind w:firstLine="480" w:firstLineChars="200"/>
              <w:rPr>
                <w:rFonts w:eastAsia="仿宋"/>
                <w:bCs/>
                <w:sz w:val="24"/>
                <w:szCs w:val="32"/>
                <w:lang w:val="en"/>
              </w:rPr>
            </w:pPr>
            <w:r>
              <w:rPr>
                <w:rFonts w:eastAsia="仿宋"/>
                <w:bCs/>
                <w:sz w:val="24"/>
                <w:szCs w:val="32"/>
              </w:rPr>
              <w:t>1.中德天津大邱庄生态城园区综合开发项目。建设内容：公园绿地及水系建设，学校、养老、医疗等公共管理与公共服务设施建设，道路等基础建设，建设起止年限</w:t>
            </w:r>
            <w:r>
              <w:rPr>
                <w:rFonts w:eastAsia="仿宋"/>
                <w:sz w:val="24"/>
                <w:szCs w:val="32"/>
              </w:rPr>
              <w:t>2021-2028</w:t>
            </w:r>
            <w:r>
              <w:rPr>
                <w:rFonts w:eastAsia="仿宋"/>
                <w:bCs/>
                <w:sz w:val="24"/>
                <w:szCs w:val="32"/>
                <w:lang w:val="en"/>
              </w:rPr>
              <w:t>。</w:t>
            </w:r>
          </w:p>
          <w:p>
            <w:pPr>
              <w:spacing w:line="580" w:lineRule="exact"/>
              <w:ind w:firstLine="480" w:firstLineChars="200"/>
              <w:rPr>
                <w:rFonts w:eastAsia="仿宋"/>
                <w:bCs/>
                <w:sz w:val="24"/>
                <w:szCs w:val="32"/>
                <w:lang w:val="en"/>
              </w:rPr>
            </w:pPr>
            <w:r>
              <w:rPr>
                <w:rFonts w:eastAsia="仿宋"/>
                <w:bCs/>
                <w:sz w:val="24"/>
                <w:szCs w:val="32"/>
                <w:lang w:val="en"/>
              </w:rPr>
              <w:t>2.团泊湿地生态改善提升项目。建设内容：以团泊水库为中心，对团泊鸟类自然保护区及团泊新城东、西区的湿地资源进行系统梳理、修复，并进行保护性的开发，</w:t>
            </w:r>
            <w:r>
              <w:rPr>
                <w:rFonts w:eastAsia="仿宋"/>
                <w:bCs/>
                <w:sz w:val="24"/>
                <w:szCs w:val="32"/>
              </w:rPr>
              <w:t>建设起止年限</w:t>
            </w:r>
            <w:r>
              <w:rPr>
                <w:rFonts w:eastAsia="仿宋"/>
                <w:sz w:val="24"/>
                <w:szCs w:val="32"/>
              </w:rPr>
              <w:t>2020-2023</w:t>
            </w:r>
            <w:r>
              <w:rPr>
                <w:rFonts w:eastAsia="仿宋"/>
                <w:bCs/>
                <w:sz w:val="24"/>
                <w:szCs w:val="32"/>
                <w:lang w:val="en"/>
              </w:rPr>
              <w:t>。</w:t>
            </w:r>
          </w:p>
          <w:p>
            <w:pPr>
              <w:spacing w:line="580" w:lineRule="exact"/>
              <w:ind w:firstLine="480" w:firstLineChars="200"/>
              <w:rPr>
                <w:rFonts w:eastAsia="仿宋"/>
                <w:bCs/>
                <w:sz w:val="32"/>
                <w:szCs w:val="32"/>
              </w:rPr>
            </w:pPr>
            <w:r>
              <w:rPr>
                <w:rFonts w:eastAsia="仿宋"/>
                <w:bCs/>
                <w:sz w:val="24"/>
                <w:szCs w:val="32"/>
                <w:lang w:val="en"/>
              </w:rPr>
              <w:t>3.州河国家湿地公园项目。建设内容：湿地保护恢复、智慧管理及基础设施建设工程，</w:t>
            </w:r>
            <w:r>
              <w:rPr>
                <w:rFonts w:eastAsia="仿宋"/>
                <w:bCs/>
                <w:sz w:val="24"/>
                <w:szCs w:val="32"/>
              </w:rPr>
              <w:t>建设起止年限</w:t>
            </w:r>
            <w:r>
              <w:rPr>
                <w:rFonts w:eastAsia="仿宋"/>
                <w:sz w:val="24"/>
                <w:szCs w:val="32"/>
              </w:rPr>
              <w:t>2020-2021</w:t>
            </w:r>
            <w:r>
              <w:rPr>
                <w:rFonts w:eastAsia="仿宋"/>
                <w:bCs/>
                <w:sz w:val="24"/>
                <w:szCs w:val="32"/>
                <w:lang w:val="en"/>
              </w:rPr>
              <w:t>。</w:t>
            </w:r>
          </w:p>
        </w:tc>
      </w:tr>
    </w:tbl>
    <w:p>
      <w:pPr>
        <w:keepNext/>
        <w:keepLines/>
        <w:spacing w:line="580" w:lineRule="exact"/>
        <w:outlineLvl w:val="2"/>
        <w:rPr>
          <w:rFonts w:eastAsia="楷体"/>
          <w:sz w:val="32"/>
          <w:szCs w:val="32"/>
        </w:rPr>
      </w:pPr>
      <w:r>
        <w:rPr>
          <w:rFonts w:eastAsia="楷体"/>
          <w:b/>
          <w:bCs/>
          <w:sz w:val="32"/>
          <w:szCs w:val="32"/>
        </w:rPr>
        <w:t xml:space="preserve">    </w:t>
      </w:r>
      <w:r>
        <w:rPr>
          <w:rFonts w:eastAsia="楷体"/>
          <w:sz w:val="32"/>
          <w:szCs w:val="32"/>
        </w:rPr>
        <w:t>（六）携手京冀积极推进世界级城市群建设</w:t>
      </w:r>
    </w:p>
    <w:p>
      <w:pPr>
        <w:spacing w:line="580" w:lineRule="exact"/>
        <w:ind w:firstLine="640" w:firstLineChars="200"/>
        <w:rPr>
          <w:rFonts w:hint="eastAsia" w:eastAsia="仿宋_GB2312"/>
          <w:bCs/>
          <w:sz w:val="32"/>
          <w:szCs w:val="32"/>
        </w:rPr>
      </w:pPr>
      <w:r>
        <w:rPr>
          <w:rFonts w:eastAsia="仿宋_GB2312"/>
          <w:bCs/>
          <w:sz w:val="32"/>
          <w:szCs w:val="32"/>
        </w:rPr>
        <w:t>1.构建科学合理的大都市城镇体系</w:t>
      </w:r>
    </w:p>
    <w:p>
      <w:pPr>
        <w:spacing w:line="580" w:lineRule="exact"/>
        <w:ind w:firstLine="640" w:firstLineChars="200"/>
        <w:rPr>
          <w:rFonts w:eastAsia="仿宋_GB2312"/>
          <w:bCs/>
          <w:sz w:val="32"/>
          <w:szCs w:val="32"/>
        </w:rPr>
      </w:pPr>
      <w:r>
        <w:rPr>
          <w:rFonts w:eastAsia="仿宋_GB2312"/>
          <w:bCs/>
          <w:sz w:val="32"/>
          <w:szCs w:val="32"/>
        </w:rPr>
        <w:t>融入京津冀协同发展重大国家战略，健全城市群协作融合发展机制。构建多层级、多核发展、生态宜居的大都市城镇体系，增强承接北京非首都功能疏解</w:t>
      </w:r>
      <w:r>
        <w:rPr>
          <w:rFonts w:hint="eastAsia" w:eastAsia="仿宋_GB2312"/>
          <w:bCs/>
          <w:sz w:val="32"/>
          <w:szCs w:val="32"/>
        </w:rPr>
        <w:t>能力</w:t>
      </w:r>
      <w:r>
        <w:rPr>
          <w:rFonts w:eastAsia="仿宋_GB2312"/>
          <w:bCs/>
          <w:sz w:val="32"/>
          <w:szCs w:val="32"/>
        </w:rPr>
        <w:t>和对周边资源要素的聚集辐射能力，成为</w:t>
      </w:r>
      <w:r>
        <w:rPr>
          <w:rFonts w:hint="eastAsia" w:eastAsia="仿宋_GB2312"/>
          <w:bCs/>
          <w:sz w:val="32"/>
          <w:szCs w:val="32"/>
        </w:rPr>
        <w:t>“津城”“滨城”</w:t>
      </w:r>
      <w:r>
        <w:rPr>
          <w:rFonts w:eastAsia="仿宋_GB2312"/>
          <w:bCs/>
          <w:sz w:val="32"/>
          <w:szCs w:val="32"/>
        </w:rPr>
        <w:t>核心区的功能拓展区、城乡融合发展示范区和新农村建设动力发源区。</w:t>
      </w:r>
    </w:p>
    <w:p>
      <w:pPr>
        <w:spacing w:line="580" w:lineRule="exact"/>
        <w:ind w:firstLine="640" w:firstLineChars="200"/>
        <w:rPr>
          <w:rFonts w:eastAsia="仿宋_GB2312"/>
          <w:bCs/>
          <w:sz w:val="32"/>
          <w:szCs w:val="32"/>
        </w:rPr>
      </w:pPr>
      <w:r>
        <w:rPr>
          <w:rFonts w:eastAsia="仿宋_GB2312"/>
          <w:bCs/>
          <w:sz w:val="32"/>
          <w:szCs w:val="32"/>
        </w:rPr>
        <w:t>2.联手北京打造京津都市连绵带</w:t>
      </w:r>
    </w:p>
    <w:p>
      <w:pPr>
        <w:spacing w:line="580" w:lineRule="exact"/>
        <w:ind w:firstLine="640" w:firstLineChars="200"/>
        <w:rPr>
          <w:rFonts w:eastAsia="仿宋_GB2312"/>
          <w:bCs/>
          <w:sz w:val="32"/>
          <w:szCs w:val="32"/>
        </w:rPr>
      </w:pPr>
      <w:r>
        <w:rPr>
          <w:rFonts w:eastAsia="仿宋_GB2312"/>
          <w:bCs/>
          <w:sz w:val="32"/>
          <w:szCs w:val="32"/>
        </w:rPr>
        <w:t>充分利用国际大港、成熟大都市、公共服务能力强和先进制造业发达等独特优势，积极调整城市规划和建设模式，重点解决空间走向、产业对接和生态环境治理等重大问题。按照国际一流大都市区的标准，</w:t>
      </w:r>
      <w:r>
        <w:rPr>
          <w:rFonts w:hint="eastAsia" w:eastAsia="仿宋_GB2312"/>
          <w:bCs/>
          <w:sz w:val="32"/>
          <w:szCs w:val="32"/>
        </w:rPr>
        <w:t>对</w:t>
      </w:r>
      <w:r>
        <w:rPr>
          <w:rFonts w:eastAsia="仿宋_GB2312"/>
          <w:bCs/>
          <w:sz w:val="32"/>
          <w:szCs w:val="32"/>
        </w:rPr>
        <w:t>城市景观、天际线、风格等进行统一规划设计，创新大都市区的建设模式，提升大都市区建设效率。充分利用京津冀协同发展国家战略的政策优势，靠近北京、发展天津</w:t>
      </w:r>
      <w:r>
        <w:rPr>
          <w:rFonts w:hint="eastAsia" w:eastAsia="仿宋_GB2312"/>
          <w:bCs/>
          <w:sz w:val="32"/>
          <w:szCs w:val="32"/>
          <w:lang w:eastAsia="zh-CN"/>
        </w:rPr>
        <w:t>、</w:t>
      </w:r>
      <w:r>
        <w:rPr>
          <w:rFonts w:eastAsia="仿宋_GB2312"/>
          <w:bCs/>
          <w:sz w:val="32"/>
          <w:szCs w:val="32"/>
        </w:rPr>
        <w:t>带动河北，进一步扩大和完善武清、北辰等京津中间地带的城区规模与功能，为形成京津都市连绵填平洼地，优化京津冀世界级城市群空间格局。</w:t>
      </w:r>
    </w:p>
    <w:p>
      <w:pPr>
        <w:spacing w:line="580" w:lineRule="exact"/>
        <w:ind w:firstLine="640" w:firstLineChars="200"/>
        <w:rPr>
          <w:rFonts w:hint="eastAsia" w:eastAsia="仿宋_GB2312"/>
          <w:bCs/>
          <w:sz w:val="32"/>
          <w:szCs w:val="32"/>
        </w:rPr>
      </w:pPr>
      <w:r>
        <w:rPr>
          <w:rFonts w:eastAsia="仿宋_GB2312"/>
          <w:bCs/>
          <w:sz w:val="32"/>
          <w:szCs w:val="32"/>
        </w:rPr>
        <w:t>3.建设联通京冀主要城市的</w:t>
      </w:r>
      <w:r>
        <w:rPr>
          <w:rFonts w:eastAsia="仿宋"/>
          <w:bCs/>
          <w:sz w:val="32"/>
          <w:szCs w:val="32"/>
        </w:rPr>
        <w:t>“</w:t>
      </w:r>
      <w:r>
        <w:rPr>
          <w:rFonts w:eastAsia="仿宋_GB2312"/>
          <w:bCs/>
          <w:sz w:val="32"/>
          <w:szCs w:val="32"/>
        </w:rPr>
        <w:t>一小时</w:t>
      </w:r>
      <w:r>
        <w:rPr>
          <w:rFonts w:eastAsia="仿宋"/>
          <w:bCs/>
          <w:sz w:val="32"/>
          <w:szCs w:val="32"/>
        </w:rPr>
        <w:t>”</w:t>
      </w:r>
      <w:r>
        <w:rPr>
          <w:rFonts w:eastAsia="仿宋_GB2312"/>
          <w:bCs/>
          <w:sz w:val="32"/>
          <w:szCs w:val="32"/>
        </w:rPr>
        <w:t>交通圈</w:t>
      </w:r>
    </w:p>
    <w:p>
      <w:pPr>
        <w:spacing w:line="580" w:lineRule="exact"/>
        <w:ind w:firstLine="640" w:firstLineChars="200"/>
        <w:rPr>
          <w:rFonts w:eastAsia="仿宋_GB2312"/>
          <w:bCs/>
          <w:sz w:val="32"/>
          <w:szCs w:val="32"/>
        </w:rPr>
      </w:pPr>
      <w:r>
        <w:rPr>
          <w:rFonts w:eastAsia="仿宋_GB2312"/>
          <w:bCs/>
          <w:sz w:val="32"/>
          <w:szCs w:val="32"/>
        </w:rPr>
        <w:t>基本建成</w:t>
      </w:r>
      <w:r>
        <w:rPr>
          <w:rFonts w:eastAsia="仿宋"/>
          <w:bCs/>
          <w:sz w:val="32"/>
          <w:szCs w:val="32"/>
        </w:rPr>
        <w:t>“</w:t>
      </w:r>
      <w:r>
        <w:rPr>
          <w:rFonts w:eastAsia="仿宋_GB2312"/>
          <w:bCs/>
          <w:sz w:val="32"/>
          <w:szCs w:val="32"/>
        </w:rPr>
        <w:t>轨道上的京津冀</w:t>
      </w:r>
      <w:r>
        <w:rPr>
          <w:rFonts w:eastAsia="仿宋"/>
          <w:bCs/>
          <w:sz w:val="32"/>
          <w:szCs w:val="32"/>
        </w:rPr>
        <w:t>”</w:t>
      </w:r>
      <w:r>
        <w:rPr>
          <w:rFonts w:eastAsia="仿宋_GB2312"/>
          <w:bCs/>
          <w:sz w:val="32"/>
          <w:szCs w:val="32"/>
        </w:rPr>
        <w:t>，建成京滨、京唐和津兴铁路，推进津潍铁路建设，形成</w:t>
      </w:r>
      <w:r>
        <w:rPr>
          <w:rFonts w:eastAsia="仿宋_GB2312"/>
          <w:bCs/>
          <w:color w:val="000000"/>
          <w:sz w:val="32"/>
          <w:szCs w:val="32"/>
        </w:rPr>
        <w:t>密接京冀、覆盖城乡的“公铁两网”</w:t>
      </w:r>
      <w:r>
        <w:rPr>
          <w:rFonts w:eastAsia="仿宋_GB2312"/>
          <w:bCs/>
          <w:sz w:val="32"/>
          <w:szCs w:val="32"/>
        </w:rPr>
        <w:t>，基本实现京津雄半小时通勤圈、京津冀主要城市1小时交通圈。推动干线铁路、城际铁路、市域（郊）铁路、城市轨道交通融合衔接，实现多种交通运输方式空间一体、便捷换乘、服务高效。</w:t>
      </w:r>
      <w:r>
        <w:rPr>
          <w:rFonts w:hint="eastAsia" w:eastAsia="仿宋_GB2312"/>
          <w:bCs/>
          <w:sz w:val="32"/>
          <w:szCs w:val="32"/>
        </w:rPr>
        <w:t>建设</w:t>
      </w:r>
      <w:r>
        <w:rPr>
          <w:rFonts w:eastAsia="仿宋_GB2312"/>
          <w:bCs/>
          <w:sz w:val="32"/>
          <w:szCs w:val="32"/>
        </w:rPr>
        <w:t>较为完善的互联畅通公路网，建设津石高速公路等区域通道，提级改造省际接口公路，实现京津雄1小时交通圈、京津冀主要城市3小时交通圈。</w:t>
      </w:r>
    </w:p>
    <w:p>
      <w:pPr>
        <w:spacing w:line="580" w:lineRule="exact"/>
        <w:ind w:firstLine="640" w:firstLineChars="200"/>
        <w:rPr>
          <w:rFonts w:hint="eastAsia" w:eastAsia="仿宋_GB2312"/>
          <w:bCs/>
          <w:sz w:val="32"/>
          <w:szCs w:val="32"/>
        </w:rPr>
      </w:pPr>
      <w:r>
        <w:rPr>
          <w:rFonts w:eastAsia="仿宋_GB2312"/>
          <w:bCs/>
          <w:sz w:val="32"/>
          <w:szCs w:val="32"/>
        </w:rPr>
        <w:t>4.畅通京津冀要素流通渠道</w:t>
      </w:r>
    </w:p>
    <w:p>
      <w:pPr>
        <w:spacing w:line="580" w:lineRule="exact"/>
        <w:ind w:firstLine="640" w:firstLineChars="200"/>
        <w:rPr>
          <w:rFonts w:eastAsia="仿宋_GB2312"/>
          <w:bCs/>
          <w:sz w:val="32"/>
          <w:szCs w:val="32"/>
        </w:rPr>
      </w:pPr>
      <w:r>
        <w:rPr>
          <w:rFonts w:eastAsia="仿宋_GB2312"/>
          <w:bCs/>
          <w:sz w:val="32"/>
          <w:szCs w:val="32"/>
        </w:rPr>
        <w:t>建立京津冀人才自由流动和城市人才入乡激励机制，建立健全京津冀就业服务和信息共享机制，促进区域城乡劳动力双向流动。实施京津冀专业技术人员职业资格证书、职称证书、继续教育证书三地互认，人力资源服务地方标准协同。</w:t>
      </w:r>
    </w:p>
    <w:p>
      <w:pPr>
        <w:spacing w:line="580" w:lineRule="exact"/>
        <w:rPr>
          <w:rFonts w:eastAsia="楷体"/>
          <w:sz w:val="32"/>
          <w:szCs w:val="32"/>
        </w:rPr>
      </w:pPr>
      <w:r>
        <w:rPr>
          <w:rFonts w:eastAsia="楷体"/>
          <w:b/>
          <w:bCs/>
          <w:sz w:val="32"/>
          <w:szCs w:val="32"/>
        </w:rPr>
        <w:t xml:space="preserve">   </w:t>
      </w:r>
      <w:r>
        <w:rPr>
          <w:rFonts w:eastAsia="楷体"/>
          <w:sz w:val="32"/>
          <w:szCs w:val="32"/>
        </w:rPr>
        <w:t xml:space="preserve"> （七）创新新型城镇化发展资金保障机制</w:t>
      </w:r>
    </w:p>
    <w:p>
      <w:pPr>
        <w:spacing w:line="580" w:lineRule="exact"/>
        <w:ind w:firstLine="640" w:firstLineChars="200"/>
        <w:rPr>
          <w:rFonts w:hint="eastAsia" w:eastAsia="仿宋_GB2312"/>
          <w:bCs/>
          <w:sz w:val="32"/>
          <w:szCs w:val="32"/>
        </w:rPr>
      </w:pPr>
      <w:r>
        <w:rPr>
          <w:rFonts w:eastAsia="仿宋_GB2312"/>
          <w:bCs/>
          <w:sz w:val="32"/>
          <w:szCs w:val="32"/>
        </w:rPr>
        <w:t>1.建立城市多元化投融资机制</w:t>
      </w:r>
    </w:p>
    <w:p>
      <w:pPr>
        <w:spacing w:line="580" w:lineRule="exact"/>
        <w:ind w:firstLine="640" w:firstLineChars="200"/>
        <w:rPr>
          <w:rFonts w:eastAsia="仿宋_GB2312"/>
          <w:bCs/>
          <w:sz w:val="32"/>
          <w:szCs w:val="32"/>
        </w:rPr>
      </w:pPr>
      <w:r>
        <w:rPr>
          <w:rFonts w:eastAsia="仿宋_GB2312"/>
          <w:bCs/>
          <w:sz w:val="32"/>
          <w:szCs w:val="32"/>
        </w:rPr>
        <w:t>统筹考虑项目属性和投资周期，科学组合公益性、准公益性、经营性项目，完善与新型城镇化建设相匹配的投融资工具，探索项目综合收益平衡机制。用好“注册制”和“直通车”政策，支持我市符合条件的企业发行企业债、公司债、短期融资券。鼓励开发性政策性金融机构按照市场化原则和职能定位，对资金用途符合要求、投资新型城镇化项目的企业进行综合授信，加大中长期贷款投放规模和力度。全面放开市政交通等投融资领域，推行政府和社会资本合作模式，吸引社会资本以特许经营、股权合作、委托经营等多种方式参与城市设施建设项目的投资建设和运营。全面推进地方融资平台公司市场化转型，打造竞争力强的地方基础设施和公共服务投资运营主体。</w:t>
      </w:r>
    </w:p>
    <w:p>
      <w:pPr>
        <w:spacing w:line="580" w:lineRule="exact"/>
        <w:ind w:firstLine="640" w:firstLineChars="200"/>
        <w:rPr>
          <w:rFonts w:hint="eastAsia" w:eastAsia="仿宋_GB2312"/>
          <w:bCs/>
          <w:sz w:val="32"/>
          <w:szCs w:val="32"/>
        </w:rPr>
      </w:pPr>
      <w:r>
        <w:rPr>
          <w:rFonts w:eastAsia="仿宋_GB2312"/>
          <w:bCs/>
          <w:sz w:val="32"/>
          <w:szCs w:val="32"/>
        </w:rPr>
        <w:t>2.引导金融资本和社会资本流向乡村</w:t>
      </w:r>
    </w:p>
    <w:p>
      <w:pPr>
        <w:spacing w:line="580" w:lineRule="exact"/>
        <w:ind w:firstLine="640" w:firstLineChars="200"/>
        <w:rPr>
          <w:rFonts w:eastAsia="仿宋_GB2312"/>
          <w:bCs/>
          <w:sz w:val="32"/>
          <w:szCs w:val="32"/>
        </w:rPr>
      </w:pPr>
      <w:r>
        <w:rPr>
          <w:rFonts w:eastAsia="仿宋_GB2312"/>
          <w:bCs/>
          <w:sz w:val="32"/>
          <w:szCs w:val="32"/>
        </w:rPr>
        <w:t>形成工商资本引流入乡机制。引入其他所有制经济与村集体经济共同发展、合作共赢。完善融资贷款和配套设施建设补助政策，鼓励工商资本投资农村一二三产及产业融合项目。以政府购买服务支持工商资本进入乡村生活性服务业；建立工商资本租赁农地监管和风险防范机制。</w:t>
      </w:r>
    </w:p>
    <w:p>
      <w:pPr>
        <w:spacing w:line="580" w:lineRule="exact"/>
        <w:ind w:firstLine="640" w:firstLineChars="200"/>
        <w:rPr>
          <w:rFonts w:eastAsia="仿宋_GB2312"/>
          <w:bCs/>
          <w:sz w:val="32"/>
          <w:szCs w:val="32"/>
        </w:rPr>
      </w:pPr>
      <w:r>
        <w:rPr>
          <w:rFonts w:eastAsia="仿宋_GB2312"/>
          <w:bCs/>
          <w:sz w:val="32"/>
          <w:szCs w:val="32"/>
        </w:rPr>
        <w:t>健全多渠道城乡金融服务体系。落实农业信贷担保机构担保费补贴和奖励政策，加大开发性和政策性金融支持力度，创新涉农小微企业金融服务产品。探索“财政+投资+贷款+担保+保险”融资模式，支持金融机构发展农业供应链金融业务。鼓励各涉农区设立乡村创业引导基金，支持设立市场化运营城乡融合发展产业基金。依法合规开展农村集体经营性建设用地使用权、农民房屋财产权、集体林权抵押融资以及承包地经营权、集体资产股权担保融资。</w:t>
      </w:r>
    </w:p>
    <w:p>
      <w:pPr>
        <w:spacing w:line="580" w:lineRule="exact"/>
        <w:ind w:firstLine="640" w:firstLineChars="200"/>
        <w:rPr>
          <w:rFonts w:hint="eastAsia" w:eastAsia="仿宋_GB2312"/>
          <w:bCs/>
          <w:sz w:val="32"/>
          <w:szCs w:val="32"/>
        </w:rPr>
      </w:pPr>
      <w:r>
        <w:rPr>
          <w:rFonts w:eastAsia="仿宋_GB2312"/>
          <w:bCs/>
          <w:sz w:val="32"/>
          <w:szCs w:val="32"/>
        </w:rPr>
        <w:t>3.加大财政资金对新型城镇化建设支持力度</w:t>
      </w:r>
    </w:p>
    <w:p>
      <w:pPr>
        <w:spacing w:line="580" w:lineRule="exact"/>
        <w:ind w:firstLine="640"/>
        <w:rPr>
          <w:rFonts w:eastAsia="仿宋_GB2312"/>
          <w:color w:val="000000"/>
          <w:sz w:val="31"/>
          <w:szCs w:val="31"/>
        </w:rPr>
      </w:pPr>
      <w:r>
        <w:rPr>
          <w:rFonts w:eastAsia="仿宋_GB2312"/>
          <w:sz w:val="32"/>
          <w:szCs w:val="32"/>
        </w:rPr>
        <w:t>加大财政资金对新型城镇化建设的支持力度，优化支出结构，提高使用效率。加强财政资源统筹，合理安排预算内城镇基本建设投资、重大基础设施建设相关资金，积极探索推进城镇化高质量发展的财政政策。完善特色小镇多元投入保障机制，争取中央预算内投资支持本市特色小镇建设。支持利用地方政府专项债券用于特色小镇有一定收益的产业配套设施、公共服务设施、市政公用设施等项目建设。对符合《天津市政府投资管理条例》规定的特色小镇重点建设项目，纳入市级政府投资计划，与年度预算衔接平衡后统筹安排补助资金。加大对新型</w:t>
      </w:r>
      <w:r>
        <w:rPr>
          <w:rFonts w:eastAsia="仿宋_GB2312"/>
          <w:color w:val="000000"/>
          <w:sz w:val="31"/>
          <w:szCs w:val="31"/>
        </w:rPr>
        <w:t>城镇化智库建设及研究的资金支持力度。</w:t>
      </w:r>
    </w:p>
    <w:p>
      <w:pPr>
        <w:spacing w:line="580" w:lineRule="exact"/>
        <w:ind w:firstLine="640"/>
        <w:rPr>
          <w:rFonts w:ascii="黑体" w:hAnsi="黑体" w:eastAsia="黑体"/>
          <w:bCs/>
          <w:sz w:val="32"/>
          <w:szCs w:val="32"/>
        </w:rPr>
      </w:pPr>
      <w:r>
        <w:rPr>
          <w:rFonts w:ascii="黑体" w:hAnsi="黑体" w:eastAsia="黑体"/>
          <w:bCs/>
          <w:sz w:val="32"/>
          <w:szCs w:val="32"/>
        </w:rPr>
        <w:t>五、保障措施</w:t>
      </w:r>
    </w:p>
    <w:p>
      <w:pPr>
        <w:spacing w:line="580" w:lineRule="exact"/>
        <w:rPr>
          <w:rFonts w:eastAsia="楷体"/>
          <w:bCs/>
          <w:szCs w:val="22"/>
        </w:rPr>
      </w:pPr>
      <w:r>
        <w:rPr>
          <w:rFonts w:eastAsia="楷体"/>
          <w:bCs/>
          <w:sz w:val="32"/>
          <w:szCs w:val="32"/>
        </w:rPr>
        <w:t xml:space="preserve">    （一）强化组织保障</w:t>
      </w:r>
    </w:p>
    <w:p>
      <w:pPr>
        <w:spacing w:line="580" w:lineRule="exact"/>
        <w:ind w:firstLine="640" w:firstLineChars="200"/>
        <w:rPr>
          <w:rFonts w:eastAsia="仿宋_GB2312"/>
          <w:bCs/>
          <w:sz w:val="32"/>
          <w:szCs w:val="32"/>
        </w:rPr>
      </w:pPr>
      <w:r>
        <w:rPr>
          <w:rFonts w:eastAsia="仿宋_GB2312"/>
          <w:bCs/>
          <w:sz w:val="32"/>
          <w:szCs w:val="32"/>
        </w:rPr>
        <w:t>各区、各部门要深刻认识新型城镇化的重大意义，进一步统一思想，完善协调机制，强化分工合作。建立健全新型城镇化发展工作协同推进机制，定期召开部门及各区联席会议，加强对新型城镇化重大事项的会商沟通以及政策衔接沟通。各区政府要负起主体责任，研究出台本区具体措施，认真抓好规划落实工作。</w:t>
      </w:r>
    </w:p>
    <w:p>
      <w:pPr>
        <w:spacing w:line="580" w:lineRule="exact"/>
        <w:ind w:firstLine="640" w:firstLineChars="200"/>
        <w:rPr>
          <w:rFonts w:eastAsia="楷体"/>
          <w:szCs w:val="22"/>
        </w:rPr>
      </w:pPr>
      <w:r>
        <w:rPr>
          <w:rFonts w:eastAsia="楷体"/>
          <w:bCs/>
          <w:sz w:val="32"/>
          <w:szCs w:val="32"/>
        </w:rPr>
        <w:t>（二）加强政策协同</w:t>
      </w:r>
    </w:p>
    <w:p>
      <w:pPr>
        <w:spacing w:line="580" w:lineRule="exact"/>
        <w:ind w:firstLine="640" w:firstLineChars="200"/>
        <w:rPr>
          <w:rFonts w:eastAsia="仿宋_GB2312"/>
          <w:sz w:val="32"/>
          <w:szCs w:val="32"/>
        </w:rPr>
      </w:pPr>
      <w:r>
        <w:rPr>
          <w:rFonts w:eastAsia="仿宋_GB2312"/>
          <w:sz w:val="32"/>
          <w:szCs w:val="32"/>
        </w:rPr>
        <w:t>有效落实《关于建立健全城乡融合发展体制机制和政策体系的若干措施》、《关于构建更加完善的要素市场化配置体制机制的若干措施》、</w:t>
      </w:r>
      <w:r>
        <w:rPr>
          <w:rFonts w:eastAsia="仿宋_GB2312"/>
          <w:bCs/>
          <w:sz w:val="32"/>
          <w:szCs w:val="32"/>
        </w:rPr>
        <w:t>《规范我市村庄撤并工作的具体措施》</w:t>
      </w:r>
      <w:r>
        <w:rPr>
          <w:rFonts w:eastAsia="仿宋_GB2312"/>
          <w:sz w:val="32"/>
          <w:szCs w:val="32"/>
          <w:lang w:val="en"/>
        </w:rPr>
        <w:t>、《天津市加快开展城镇化补短板强弱项工作实施方案》和</w:t>
      </w:r>
      <w:r>
        <w:rPr>
          <w:rFonts w:eastAsia="仿宋_GB2312"/>
          <w:sz w:val="32"/>
          <w:szCs w:val="32"/>
        </w:rPr>
        <w:t>促进特色小镇规范健康发展</w:t>
      </w:r>
      <w:r>
        <w:rPr>
          <w:rFonts w:eastAsia="仿宋_GB2312"/>
          <w:sz w:val="32"/>
          <w:szCs w:val="32"/>
          <w:lang w:val="en"/>
        </w:rPr>
        <w:t>等系列政策措施，为新型城镇化发展提供政策保障</w:t>
      </w:r>
      <w:r>
        <w:rPr>
          <w:rFonts w:eastAsia="仿宋_GB2312"/>
          <w:sz w:val="32"/>
          <w:szCs w:val="32"/>
        </w:rPr>
        <w:t>。</w:t>
      </w:r>
    </w:p>
    <w:p>
      <w:pPr>
        <w:keepNext/>
        <w:keepLines/>
        <w:spacing w:line="580" w:lineRule="exact"/>
        <w:ind w:firstLine="640" w:firstLineChars="200"/>
        <w:outlineLvl w:val="2"/>
        <w:rPr>
          <w:rFonts w:eastAsia="楷体"/>
          <w:sz w:val="32"/>
          <w:szCs w:val="32"/>
        </w:rPr>
      </w:pPr>
      <w:r>
        <w:rPr>
          <w:rFonts w:eastAsia="楷体"/>
          <w:sz w:val="32"/>
          <w:szCs w:val="32"/>
        </w:rPr>
        <w:t>（三）加强项目建设和谋划</w:t>
      </w:r>
    </w:p>
    <w:p>
      <w:pPr>
        <w:spacing w:line="580" w:lineRule="exact"/>
        <w:ind w:firstLine="640" w:firstLineChars="200"/>
        <w:rPr>
          <w:rFonts w:hint="eastAsia" w:eastAsia="仿宋_GB2312"/>
          <w:sz w:val="32"/>
          <w:szCs w:val="32"/>
        </w:rPr>
      </w:pPr>
      <w:r>
        <w:rPr>
          <w:rFonts w:eastAsia="仿宋_GB2312"/>
          <w:sz w:val="32"/>
          <w:szCs w:val="32"/>
        </w:rPr>
        <w:t>对标国家</w:t>
      </w:r>
      <w:r>
        <w:rPr>
          <w:rFonts w:hint="eastAsia" w:eastAsia="仿宋_GB2312"/>
          <w:sz w:val="32"/>
          <w:szCs w:val="32"/>
        </w:rPr>
        <w:t>关于</w:t>
      </w:r>
      <w:r>
        <w:rPr>
          <w:rFonts w:eastAsia="仿宋_GB2312"/>
          <w:sz w:val="32"/>
          <w:szCs w:val="32"/>
        </w:rPr>
        <w:t>新型城镇化的总体部署，从推进公共服务设施提标扩面、推进产业培育设施提质增效、推进市政共用设施提档升级等方面做好项目储备。</w:t>
      </w:r>
      <w:r>
        <w:rPr>
          <w:rFonts w:hint="eastAsia" w:eastAsia="仿宋_GB2312"/>
          <w:sz w:val="32"/>
          <w:szCs w:val="32"/>
        </w:rPr>
        <w:t>“</w:t>
      </w:r>
      <w:r>
        <w:rPr>
          <w:rFonts w:eastAsia="仿宋_GB2312"/>
          <w:sz w:val="32"/>
          <w:szCs w:val="32"/>
        </w:rPr>
        <w:t>十四五</w:t>
      </w:r>
      <w:r>
        <w:rPr>
          <w:rFonts w:hint="eastAsia" w:eastAsia="仿宋_GB2312"/>
          <w:sz w:val="32"/>
          <w:szCs w:val="32"/>
        </w:rPr>
        <w:t>”</w:t>
      </w:r>
      <w:r>
        <w:rPr>
          <w:rFonts w:eastAsia="仿宋_GB2312"/>
          <w:sz w:val="32"/>
          <w:szCs w:val="32"/>
        </w:rPr>
        <w:t>期间，暂有各类新型城镇化项目355个，总投资2960亿元；其中重点项目39个，总投资1343亿元，作为推动新型城镇化建设重要抓手，积极推动开工建设。同时做好新项目谋划，为新型城镇化高质量发展积蓄力量。</w:t>
      </w:r>
    </w:p>
    <w:p>
      <w:pPr>
        <w:spacing w:line="580" w:lineRule="exact"/>
        <w:ind w:firstLine="640" w:firstLineChars="200"/>
        <w:rPr>
          <w:rFonts w:hint="eastAsia" w:eastAsia="楷体"/>
          <w:sz w:val="32"/>
          <w:szCs w:val="32"/>
        </w:rPr>
      </w:pPr>
      <w:r>
        <w:rPr>
          <w:rFonts w:eastAsia="楷体"/>
          <w:sz w:val="32"/>
          <w:szCs w:val="32"/>
        </w:rPr>
        <w:t>（四）强化推动落实</w:t>
      </w:r>
    </w:p>
    <w:p>
      <w:pPr>
        <w:tabs>
          <w:tab w:val="left" w:pos="1418"/>
        </w:tabs>
        <w:spacing w:line="540" w:lineRule="exact"/>
        <w:ind w:right="26" w:firstLine="620" w:firstLineChars="200"/>
        <w:rPr>
          <w:rFonts w:hint="eastAsia" w:eastAsia="仿宋_GB2312"/>
          <w:sz w:val="32"/>
          <w:szCs w:val="32"/>
        </w:rPr>
      </w:pPr>
      <w:r>
        <w:rPr>
          <w:rFonts w:eastAsia="仿宋_GB2312"/>
          <w:color w:val="000000"/>
          <w:kern w:val="0"/>
          <w:sz w:val="31"/>
          <w:szCs w:val="31"/>
        </w:rPr>
        <w:t>健全规划实施全过程评估，开展规划年度跟踪监测、中期评估和末期全面评估，及时研究解决规划实施过程中的全局性重大问题。激发全社会参与规划实施的积极性，注重发挥群团组织和社会各界作用，营造全社会共同推动新型城镇化的良好氛围。加强城镇化智库建设，鼓励高等院校和科研院所等开展新型城镇化研究。密切关注宏观调控政策和市场变化，及时调整优化规划实施手段，确规划目标顺利实现，各项重点任务落实落地。</w:t>
      </w:r>
    </w:p>
    <w:p>
      <w:pPr>
        <w:tabs>
          <w:tab w:val="left" w:pos="1418"/>
        </w:tabs>
        <w:spacing w:line="540" w:lineRule="exact"/>
        <w:ind w:right="26" w:firstLine="640" w:firstLineChars="200"/>
        <w:rPr>
          <w:rFonts w:hint="eastAsia" w:eastAsia="仿宋_GB2312"/>
          <w:sz w:val="32"/>
          <w:szCs w:val="32"/>
        </w:rPr>
      </w:pPr>
    </w:p>
    <w:p>
      <w:pPr>
        <w:tabs>
          <w:tab w:val="left" w:pos="1418"/>
        </w:tabs>
        <w:spacing w:line="540" w:lineRule="exact"/>
        <w:ind w:right="26" w:firstLine="640" w:firstLineChars="200"/>
        <w:rPr>
          <w:rFonts w:hint="eastAsia" w:eastAsia="仿宋_GB2312"/>
          <w:sz w:val="32"/>
          <w:szCs w:val="32"/>
        </w:rPr>
      </w:pPr>
    </w:p>
    <w:p>
      <w:pPr>
        <w:tabs>
          <w:tab w:val="left" w:pos="1418"/>
        </w:tabs>
        <w:spacing w:line="540" w:lineRule="exact"/>
        <w:ind w:right="26" w:firstLine="640" w:firstLineChars="200"/>
        <w:rPr>
          <w:rFonts w:hint="eastAsia" w:eastAsia="仿宋_GB2312"/>
          <w:sz w:val="32"/>
          <w:szCs w:val="32"/>
        </w:rPr>
      </w:pPr>
    </w:p>
    <w:p>
      <w:pPr>
        <w:tabs>
          <w:tab w:val="left" w:pos="1418"/>
        </w:tabs>
        <w:spacing w:line="540" w:lineRule="exact"/>
        <w:ind w:right="26" w:firstLine="640" w:firstLineChars="200"/>
        <w:rPr>
          <w:rFonts w:hint="eastAsia" w:eastAsia="仿宋_GB2312"/>
          <w:sz w:val="32"/>
          <w:szCs w:val="32"/>
        </w:rPr>
      </w:pPr>
    </w:p>
    <w:p>
      <w:pPr>
        <w:tabs>
          <w:tab w:val="left" w:pos="1418"/>
        </w:tabs>
        <w:spacing w:line="540" w:lineRule="exact"/>
        <w:ind w:right="26" w:firstLine="640" w:firstLineChars="200"/>
        <w:rPr>
          <w:rFonts w:hint="eastAsia" w:eastAsia="仿宋_GB2312"/>
          <w:sz w:val="32"/>
          <w:szCs w:val="32"/>
        </w:rPr>
      </w:pPr>
    </w:p>
    <w:p>
      <w:pPr>
        <w:tabs>
          <w:tab w:val="left" w:pos="1418"/>
        </w:tabs>
        <w:spacing w:line="540" w:lineRule="exact"/>
        <w:ind w:right="26" w:firstLine="640" w:firstLineChars="200"/>
        <w:rPr>
          <w:rFonts w:hint="eastAsia" w:eastAsia="仿宋_GB2312"/>
          <w:sz w:val="32"/>
          <w:szCs w:val="32"/>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方正仿宋_GBK">
    <w:altName w:val="Arial Unicode MS"/>
    <w:panose1 w:val="02000000000000000000"/>
    <w:charset w:val="86"/>
    <w:family w:val="script"/>
    <w:pitch w:val="default"/>
    <w:sig w:usb0="00000000" w:usb1="00000000" w:usb2="00000000" w:usb3="00000000" w:csb0="00040000"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 w:name="CESI仿宋-GB2312">
    <w:altName w:val="仿宋"/>
    <w:panose1 w:val="00000000000000000000"/>
    <w:charset w:val="00"/>
    <w:family w:val="auto"/>
    <w:pitch w:val="default"/>
    <w:sig w:usb0="00000000" w:usb1="00000000" w:usb2="00000010" w:usb3="00000000" w:csb0="0004000F" w:csb1="00000000"/>
  </w:font>
  <w:font w:name="方正隶书_GBK">
    <w:altName w:val="隶书"/>
    <w:panose1 w:val="02000000000000000000"/>
    <w:charset w:val="86"/>
    <w:family w:val="auto"/>
    <w:pitch w:val="default"/>
    <w:sig w:usb0="00000000" w:usb1="00000000" w:usb2="00000000" w:usb3="00000000" w:csb0="00040000" w:csb1="00000000"/>
  </w:font>
  <w:font w:name="文星仿宋">
    <w:altName w:val="仿宋"/>
    <w:panose1 w:val="02010604000101010101"/>
    <w:charset w:val="00"/>
    <w:family w:val="auto"/>
    <w:pitch w:val="default"/>
    <w:sig w:usb0="00000000" w:usb1="00000000" w:usb2="00000010"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隶书">
    <w:panose1 w:val="02010509060101010101"/>
    <w:charset w:val="86"/>
    <w:family w:val="auto"/>
    <w:pitch w:val="default"/>
    <w:sig w:usb0="00000001" w:usb1="080E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AC87995"/>
    <w:rsid w:val="2AC87995"/>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Office_11.1.0.11045_F1E327BC-269C-435d-A152-05C5408002CA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2021-12-22T08:36:00Z</dcterms:created>
  <dc:creator>WPS_1628732352</dc:creator>
  <cp:lastModifiedBy>WPS_1628732352</cp:lastModifiedBy>
  <dcterms:modified xsi:type="dcterms:W3CDTF">2021-12-22T08:36:54Z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2052-11.1.0.11045</vt:lpwstr>
  </property>
  <property fmtid="{D5CDD505-2E9C-101B-9397-08002B2CF9AE}" pid="3" name="ICV">
    <vt:lpwstr>1ACDCF84B07C45F39C41716BDCCE5B97</vt:lpwstr>
  </property>
</Properties>
</file>